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2"/>
        <w:ind w:left="3461" w:right="3618"/>
        <w:jc w:val="center"/>
      </w:pPr>
      <w:bookmarkStart w:name="KISA ÜRÜN BİLGİSİ" w:id="1"/>
      <w:bookmarkEnd w:id="1"/>
      <w:r>
        <w:rPr>
          <w:b w:val="0"/>
        </w:rPr>
      </w:r>
      <w:r>
        <w:rPr/>
        <w:t>KISA ÜRÜN BİLGİSİ</w:t>
      </w:r>
    </w:p>
    <w:p>
      <w:pPr>
        <w:pStyle w:val="BodyText"/>
        <w:ind w:left="0"/>
        <w:rPr>
          <w:b/>
          <w:sz w:val="26"/>
        </w:rPr>
      </w:pPr>
    </w:p>
    <w:p>
      <w:pPr>
        <w:pStyle w:val="BodyText"/>
        <w:ind w:left="0"/>
        <w:rPr>
          <w:b/>
          <w:sz w:val="22"/>
        </w:rPr>
      </w:pPr>
    </w:p>
    <w:p>
      <w:pPr>
        <w:pStyle w:val="ListParagraph"/>
        <w:numPr>
          <w:ilvl w:val="0"/>
          <w:numId w:val="1"/>
        </w:numPr>
        <w:tabs>
          <w:tab w:pos="352" w:val="left" w:leader="none"/>
        </w:tabs>
        <w:spacing w:line="240" w:lineRule="auto" w:before="1" w:after="0"/>
        <w:ind w:left="352" w:right="0" w:hanging="238"/>
        <w:jc w:val="left"/>
        <w:rPr>
          <w:b/>
          <w:sz w:val="24"/>
        </w:rPr>
      </w:pPr>
      <w:r>
        <w:rPr>
          <w:b/>
          <w:sz w:val="24"/>
        </w:rPr>
        <w:t>BEŞERİ TIBBİ ÜRÜNÜN</w:t>
      </w:r>
      <w:r>
        <w:rPr>
          <w:b/>
          <w:spacing w:val="-4"/>
          <w:sz w:val="24"/>
        </w:rPr>
        <w:t> </w:t>
      </w:r>
      <w:r>
        <w:rPr>
          <w:b/>
          <w:sz w:val="24"/>
        </w:rPr>
        <w:t>ADI</w:t>
      </w:r>
    </w:p>
    <w:p>
      <w:pPr>
        <w:pStyle w:val="BodyText"/>
        <w:spacing w:before="218"/>
      </w:pPr>
      <w:r>
        <w:rPr/>
        <w:t>CLOVATE saç losyonu</w:t>
      </w:r>
    </w:p>
    <w:p>
      <w:pPr>
        <w:pStyle w:val="BodyText"/>
        <w:spacing w:before="5"/>
        <w:ind w:left="0"/>
      </w:pPr>
    </w:p>
    <w:p>
      <w:pPr>
        <w:pStyle w:val="Heading1"/>
        <w:numPr>
          <w:ilvl w:val="0"/>
          <w:numId w:val="1"/>
        </w:numPr>
        <w:tabs>
          <w:tab w:pos="352" w:val="left" w:leader="none"/>
        </w:tabs>
        <w:spacing w:line="240" w:lineRule="auto" w:before="0" w:after="0"/>
        <w:ind w:left="352" w:right="0" w:hanging="238"/>
        <w:jc w:val="left"/>
      </w:pPr>
      <w:bookmarkStart w:name="2. KALİTATİF ve KANTİTATİF BİLEŞİM Etkin" w:id="2"/>
      <w:bookmarkEnd w:id="2"/>
      <w:r>
        <w:rPr>
          <w:b w:val="0"/>
        </w:rPr>
      </w:r>
      <w:bookmarkStart w:name="2. KALİTATİF ve KANTİTATİF BİLEŞİM Etkin" w:id="3"/>
      <w:bookmarkEnd w:id="3"/>
      <w:r>
        <w:rPr/>
        <w:t>K</w:t>
      </w:r>
      <w:r>
        <w:rPr/>
        <w:t>ALİTATİF ve KANTİTATİF</w:t>
      </w:r>
      <w:r>
        <w:rPr>
          <w:spacing w:val="-4"/>
        </w:rPr>
        <w:t> </w:t>
      </w:r>
      <w:r>
        <w:rPr/>
        <w:t>BİLEŞİM</w:t>
      </w:r>
    </w:p>
    <w:p>
      <w:pPr>
        <w:pStyle w:val="BodyText"/>
        <w:spacing w:before="9"/>
        <w:ind w:left="0"/>
        <w:rPr>
          <w:b/>
          <w:sz w:val="23"/>
        </w:rPr>
      </w:pPr>
    </w:p>
    <w:p>
      <w:pPr>
        <w:spacing w:before="0"/>
        <w:ind w:left="114" w:right="0" w:firstLine="0"/>
        <w:jc w:val="left"/>
        <w:rPr>
          <w:b/>
          <w:sz w:val="24"/>
        </w:rPr>
      </w:pPr>
      <w:r>
        <w:rPr>
          <w:b/>
          <w:sz w:val="24"/>
        </w:rPr>
        <w:t>Etkin madde:</w:t>
      </w:r>
    </w:p>
    <w:p>
      <w:pPr>
        <w:pStyle w:val="BodyText"/>
        <w:spacing w:before="60"/>
      </w:pPr>
      <w:r>
        <w:rPr/>
        <w:t>% 0.05 a/a klobetazol 17-propiyonat içerir.</w:t>
      </w:r>
    </w:p>
    <w:p>
      <w:pPr>
        <w:pStyle w:val="Heading1"/>
        <w:spacing w:before="223"/>
      </w:pPr>
      <w:bookmarkStart w:name="Yardımcı maddeler:" w:id="4"/>
      <w:bookmarkEnd w:id="4"/>
      <w:r>
        <w:rPr>
          <w:b w:val="0"/>
        </w:rPr>
      </w:r>
      <w:r>
        <w:rPr/>
        <w:t>Yardımcı maddeler:</w:t>
      </w:r>
    </w:p>
    <w:p>
      <w:pPr>
        <w:pStyle w:val="BodyText"/>
        <w:tabs>
          <w:tab w:pos="2869" w:val="left" w:leader="dot"/>
        </w:tabs>
        <w:spacing w:before="58"/>
      </w:pPr>
      <w:r>
        <w:rPr/>
        <w:t>Sodyum</w:t>
      </w:r>
      <w:r>
        <w:rPr>
          <w:spacing w:val="-1"/>
        </w:rPr>
        <w:t> </w:t>
      </w:r>
      <w:r>
        <w:rPr/>
        <w:t>hidroksit</w:t>
        <w:tab/>
        <w:t>y.m</w:t>
      </w:r>
    </w:p>
    <w:p>
      <w:pPr>
        <w:pStyle w:val="BodyText"/>
        <w:spacing w:before="218"/>
      </w:pPr>
      <w:r>
        <w:rPr/>
        <w:t>Diğer yardımcı maddeler için 6.1 'e bakınız.</w:t>
      </w:r>
    </w:p>
    <w:p>
      <w:pPr>
        <w:pStyle w:val="BodyText"/>
        <w:spacing w:before="5"/>
        <w:ind w:left="0"/>
      </w:pPr>
    </w:p>
    <w:p>
      <w:pPr>
        <w:pStyle w:val="Heading1"/>
        <w:numPr>
          <w:ilvl w:val="0"/>
          <w:numId w:val="1"/>
        </w:numPr>
        <w:tabs>
          <w:tab w:pos="352" w:val="left" w:leader="none"/>
        </w:tabs>
        <w:spacing w:line="240" w:lineRule="auto" w:before="0" w:after="0"/>
        <w:ind w:left="352" w:right="0" w:hanging="238"/>
        <w:jc w:val="left"/>
      </w:pPr>
      <w:bookmarkStart w:name="3. FARMASÖTİK FORM" w:id="5"/>
      <w:bookmarkEnd w:id="5"/>
      <w:r>
        <w:rPr>
          <w:b w:val="0"/>
        </w:rPr>
      </w:r>
      <w:bookmarkStart w:name="3. FARMASÖTİK FORM" w:id="6"/>
      <w:bookmarkEnd w:id="6"/>
      <w:r>
        <w:rPr/>
        <w:t>FARMA</w:t>
      </w:r>
      <w:r>
        <w:rPr/>
        <w:t>SÖTİK</w:t>
      </w:r>
      <w:r>
        <w:rPr>
          <w:spacing w:val="-1"/>
        </w:rPr>
        <w:t> </w:t>
      </w:r>
      <w:r>
        <w:rPr/>
        <w:t>FORM</w:t>
      </w:r>
    </w:p>
    <w:p>
      <w:pPr>
        <w:pStyle w:val="BodyText"/>
        <w:spacing w:before="58"/>
      </w:pPr>
      <w:r>
        <w:rPr/>
        <w:t>Losyon</w:t>
      </w:r>
    </w:p>
    <w:p>
      <w:pPr>
        <w:pStyle w:val="BodyText"/>
      </w:pPr>
      <w:r>
        <w:rPr/>
        <w:t>Homojen, berrak hafif viskoz çözelti</w:t>
      </w:r>
    </w:p>
    <w:p>
      <w:pPr>
        <w:pStyle w:val="BodyText"/>
        <w:spacing w:before="2"/>
        <w:ind w:left="0"/>
      </w:pPr>
    </w:p>
    <w:p>
      <w:pPr>
        <w:pStyle w:val="Heading1"/>
        <w:numPr>
          <w:ilvl w:val="0"/>
          <w:numId w:val="1"/>
        </w:numPr>
        <w:tabs>
          <w:tab w:pos="352" w:val="left" w:leader="none"/>
        </w:tabs>
        <w:spacing w:line="240" w:lineRule="auto" w:before="0" w:after="0"/>
        <w:ind w:left="352" w:right="0" w:hanging="238"/>
        <w:jc w:val="left"/>
      </w:pPr>
      <w:bookmarkStart w:name="4. KLİNİK ÖZELLİKLER" w:id="7"/>
      <w:bookmarkEnd w:id="7"/>
      <w:r>
        <w:rPr>
          <w:b w:val="0"/>
        </w:rPr>
      </w:r>
      <w:bookmarkStart w:name="4. KLİNİK ÖZELLİKLER" w:id="8"/>
      <w:bookmarkEnd w:id="8"/>
      <w:r>
        <w:rPr/>
        <w:t>KLİ</w:t>
      </w:r>
      <w:r>
        <w:rPr/>
        <w:t>NİK</w:t>
      </w:r>
      <w:r>
        <w:rPr>
          <w:spacing w:val="-1"/>
        </w:rPr>
        <w:t> </w:t>
      </w:r>
      <w:r>
        <w:rPr/>
        <w:t>ÖZELLİKLER</w:t>
      </w:r>
    </w:p>
    <w:p>
      <w:pPr>
        <w:pStyle w:val="BodyText"/>
        <w:ind w:left="0"/>
        <w:rPr>
          <w:b/>
          <w:sz w:val="23"/>
        </w:rPr>
      </w:pPr>
    </w:p>
    <w:p>
      <w:pPr>
        <w:pStyle w:val="ListParagraph"/>
        <w:numPr>
          <w:ilvl w:val="1"/>
          <w:numId w:val="1"/>
        </w:numPr>
        <w:tabs>
          <w:tab w:pos="532" w:val="left" w:leader="none"/>
        </w:tabs>
        <w:spacing w:line="240" w:lineRule="auto" w:before="0" w:after="0"/>
        <w:ind w:left="532" w:right="0" w:hanging="418"/>
        <w:jc w:val="left"/>
        <w:rPr>
          <w:b/>
          <w:sz w:val="24"/>
        </w:rPr>
      </w:pPr>
      <w:r>
        <w:rPr>
          <w:b/>
          <w:sz w:val="24"/>
        </w:rPr>
        <w:t>Terapötik</w:t>
      </w:r>
      <w:r>
        <w:rPr>
          <w:b/>
          <w:spacing w:val="-1"/>
          <w:sz w:val="24"/>
        </w:rPr>
        <w:t> </w:t>
      </w:r>
      <w:r>
        <w:rPr>
          <w:b/>
          <w:sz w:val="24"/>
        </w:rPr>
        <w:t>endikasyonlar</w:t>
      </w:r>
    </w:p>
    <w:p>
      <w:pPr>
        <w:pStyle w:val="BodyText"/>
        <w:spacing w:before="4"/>
        <w:ind w:left="0"/>
        <w:rPr>
          <w:b/>
          <w:sz w:val="23"/>
        </w:rPr>
      </w:pPr>
    </w:p>
    <w:p>
      <w:pPr>
        <w:pStyle w:val="BodyText"/>
        <w:spacing w:line="237" w:lineRule="auto"/>
        <w:ind w:right="589"/>
      </w:pPr>
      <w:r>
        <w:rPr/>
        <w:t>Klobetazol propiyonat, daha az güçlü olan steroidlere tatmin edici biçimde yanıt vermeyen durumlarda kısa süreli kullanım için endike olan çok güçlü bir topikal kortikosteroiddir.</w:t>
      </w:r>
    </w:p>
    <w:p>
      <w:pPr>
        <w:pStyle w:val="BodyText"/>
        <w:spacing w:before="5"/>
        <w:ind w:left="0"/>
        <w:rPr>
          <w:sz w:val="23"/>
        </w:rPr>
      </w:pPr>
    </w:p>
    <w:p>
      <w:pPr>
        <w:pStyle w:val="BodyText"/>
        <w:spacing w:line="275" w:lineRule="exact"/>
      </w:pPr>
      <w:r>
        <w:rPr/>
        <w:t>Aşağıda belirtilenler gibi kafa derisinin steroide yanıt veren dermatozlarında kullanım için</w:t>
      </w:r>
    </w:p>
    <w:p>
      <w:pPr>
        <w:pStyle w:val="BodyText"/>
        <w:spacing w:line="274" w:lineRule="exact"/>
      </w:pPr>
      <w:r>
        <w:rPr/>
        <w:t>endikedir:</w:t>
      </w:r>
    </w:p>
    <w:p>
      <w:pPr>
        <w:pStyle w:val="ListParagraph"/>
        <w:numPr>
          <w:ilvl w:val="0"/>
          <w:numId w:val="2"/>
        </w:numPr>
        <w:tabs>
          <w:tab w:pos="256" w:val="left" w:leader="none"/>
        </w:tabs>
        <w:spacing w:line="275" w:lineRule="exact" w:before="0" w:after="0"/>
        <w:ind w:left="256" w:right="0" w:hanging="142"/>
        <w:jc w:val="left"/>
        <w:rPr>
          <w:sz w:val="24"/>
        </w:rPr>
      </w:pPr>
      <w:r>
        <w:rPr>
          <w:sz w:val="24"/>
        </w:rPr>
        <w:t>Psöriyazis</w:t>
      </w:r>
    </w:p>
    <w:p>
      <w:pPr>
        <w:pStyle w:val="ListParagraph"/>
        <w:numPr>
          <w:ilvl w:val="0"/>
          <w:numId w:val="2"/>
        </w:numPr>
        <w:tabs>
          <w:tab w:pos="256" w:val="left" w:leader="none"/>
        </w:tabs>
        <w:spacing w:line="240" w:lineRule="auto" w:before="0" w:after="0"/>
        <w:ind w:left="256" w:right="0" w:hanging="142"/>
        <w:jc w:val="left"/>
        <w:rPr>
          <w:sz w:val="24"/>
        </w:rPr>
      </w:pPr>
      <w:bookmarkStart w:name="4.2. Pozoloji ve uygulama şekli Pozoloji" w:id="9"/>
      <w:bookmarkEnd w:id="9"/>
      <w:r>
        <w:rPr/>
      </w:r>
      <w:bookmarkStart w:name="4.2. Pozoloji ve uygulama şekli Pozoloji" w:id="10"/>
      <w:bookmarkEnd w:id="10"/>
      <w:r>
        <w:rPr>
          <w:sz w:val="24"/>
        </w:rPr>
        <w:t>R</w:t>
      </w:r>
      <w:r>
        <w:rPr>
          <w:sz w:val="24"/>
        </w:rPr>
        <w:t>ekalsitran</w:t>
      </w:r>
      <w:r>
        <w:rPr>
          <w:spacing w:val="-2"/>
          <w:sz w:val="24"/>
        </w:rPr>
        <w:t> </w:t>
      </w:r>
      <w:r>
        <w:rPr>
          <w:sz w:val="24"/>
        </w:rPr>
        <w:t>dermatozlar</w:t>
      </w:r>
    </w:p>
    <w:p>
      <w:pPr>
        <w:pStyle w:val="Heading1"/>
        <w:numPr>
          <w:ilvl w:val="1"/>
          <w:numId w:val="1"/>
        </w:numPr>
        <w:tabs>
          <w:tab w:pos="535" w:val="left" w:leader="none"/>
          <w:tab w:pos="1580" w:val="left" w:leader="none"/>
          <w:tab w:pos="2026" w:val="left" w:leader="none"/>
          <w:tab w:pos="3263" w:val="left" w:leader="none"/>
        </w:tabs>
        <w:spacing w:line="550" w:lineRule="atLeast" w:before="7" w:after="0"/>
        <w:ind w:left="114" w:right="5698" w:firstLine="0"/>
        <w:jc w:val="left"/>
      </w:pPr>
      <w:r>
        <w:rPr/>
        <w:t>Pozoloji</w:t>
        <w:tab/>
        <w:t>ve</w:t>
        <w:tab/>
        <w:t>uygulama</w:t>
        <w:tab/>
      </w:r>
      <w:r>
        <w:rPr>
          <w:spacing w:val="-5"/>
        </w:rPr>
        <w:t>şekli </w:t>
      </w:r>
      <w:r>
        <w:rPr/>
        <w:t>Pozoloji/uygulama sıklığı ve</w:t>
      </w:r>
      <w:r>
        <w:rPr>
          <w:spacing w:val="-22"/>
        </w:rPr>
        <w:t> </w:t>
      </w:r>
      <w:r>
        <w:rPr/>
        <w:t>süresi:</w:t>
      </w:r>
    </w:p>
    <w:p>
      <w:pPr>
        <w:pStyle w:val="BodyText"/>
        <w:spacing w:before="2"/>
        <w:ind w:right="202"/>
        <w:jc w:val="both"/>
      </w:pPr>
      <w:r>
        <w:rPr/>
        <w:t>Klobetazol propiyonat çok güçlü topikal kortikosteroidler grubunda yer alır (Grup IV) ve diğer tüm topikal kortikosteroidlerde olduğu gibi, kontrolsüz ve uzun süreli kullanımı ciddi yan etkilerle sonuçlanabilir (bkz. Bölüm 4.4). Eğer klinik olarak bir lokal kortikosteroid ile tedavinin 4 haftadan fazla sürmesi gerekiyorsa, daha az güçlü bir kortikosteroid tedavisi düşünülmelidir. Alevlenmeleri kontrol etmek için tekrarlanan ancak kısa süreli klobetazol propiyonat kürleri kullanılabilir (aşağıdaki ayrıntılara bakınız)</w:t>
      </w:r>
    </w:p>
    <w:p>
      <w:pPr>
        <w:pStyle w:val="BodyText"/>
        <w:spacing w:before="9"/>
        <w:ind w:left="0"/>
        <w:rPr>
          <w:sz w:val="23"/>
        </w:rPr>
      </w:pPr>
    </w:p>
    <w:p>
      <w:pPr>
        <w:pStyle w:val="Heading1"/>
        <w:jc w:val="both"/>
      </w:pPr>
      <w:bookmarkStart w:name="Erişkinler, yaşlılar ve 1 yaşından büyük" w:id="11"/>
      <w:bookmarkEnd w:id="11"/>
      <w:r>
        <w:rPr>
          <w:b w:val="0"/>
        </w:rPr>
      </w:r>
      <w:r>
        <w:rPr/>
        <w:t>Erişkinler, yaşlılar ve 1 yaşından büyük çocuklar</w:t>
      </w:r>
    </w:p>
    <w:p>
      <w:pPr>
        <w:pStyle w:val="BodyText"/>
        <w:ind w:right="204"/>
        <w:jc w:val="both"/>
      </w:pPr>
      <w:r>
        <w:rPr/>
        <w:t>Belirgin bir düzelme görülünceye kadar, sabah ve akşam saç derisine az miktarda uygulanır. Daha sonra günde bir kez ya da daha az sıklıkta uygulama yapılarak düzelmenin korunması mümkün</w:t>
      </w:r>
      <w:r>
        <w:rPr>
          <w:spacing w:val="-1"/>
        </w:rPr>
        <w:t> </w:t>
      </w:r>
      <w:r>
        <w:rPr/>
        <w:t>olabilir.</w:t>
      </w:r>
    </w:p>
    <w:p>
      <w:pPr>
        <w:pStyle w:val="BodyText"/>
        <w:ind w:left="0"/>
      </w:pPr>
    </w:p>
    <w:p>
      <w:pPr>
        <w:pStyle w:val="Heading1"/>
        <w:jc w:val="both"/>
      </w:pPr>
      <w:bookmarkStart w:name="Uygulama şekli:" w:id="12"/>
      <w:bookmarkEnd w:id="12"/>
      <w:r>
        <w:rPr>
          <w:b w:val="0"/>
        </w:rPr>
      </w:r>
      <w:r>
        <w:rPr/>
        <w:t>Uygulama</w:t>
      </w:r>
      <w:r>
        <w:rPr>
          <w:spacing w:val="-6"/>
        </w:rPr>
        <w:t> </w:t>
      </w:r>
      <w:r>
        <w:rPr/>
        <w:t>şekli:</w:t>
      </w:r>
    </w:p>
    <w:p>
      <w:pPr>
        <w:pStyle w:val="BodyText"/>
        <w:jc w:val="both"/>
      </w:pPr>
      <w:r>
        <w:rPr/>
        <w:t>Haricen kullanılır.</w:t>
      </w:r>
    </w:p>
    <w:p>
      <w:pPr>
        <w:spacing w:after="0"/>
        <w:jc w:val="both"/>
        <w:sectPr>
          <w:footerReference w:type="default" r:id="rId5"/>
          <w:type w:val="continuous"/>
          <w:pgSz w:w="11920" w:h="16850"/>
          <w:pgMar w:footer="782" w:top="1080" w:bottom="980" w:left="1280" w:right="1200"/>
          <w:pgNumType w:start="1"/>
        </w:sectPr>
      </w:pPr>
    </w:p>
    <w:p>
      <w:pPr>
        <w:pStyle w:val="BodyText"/>
        <w:spacing w:before="72"/>
        <w:jc w:val="both"/>
      </w:pPr>
      <w:r>
        <w:rPr/>
        <w:t>Saçlı deriye uygulanır.</w:t>
      </w:r>
    </w:p>
    <w:p>
      <w:pPr>
        <w:pStyle w:val="BodyText"/>
        <w:ind w:left="0"/>
      </w:pPr>
    </w:p>
    <w:p>
      <w:pPr>
        <w:pStyle w:val="BodyText"/>
        <w:ind w:right="133"/>
        <w:jc w:val="both"/>
      </w:pPr>
      <w:r>
        <w:rPr/>
        <w:t>Ürünün yanıcı özelliği nedeniyle, CLOVATE kullanım sırasında ve hemen sonrasında açık ateş ve alevlerden ve sigara dahil tüm yanıcı kaynaklardan uzak tutulmalıdır.</w:t>
      </w:r>
    </w:p>
    <w:p>
      <w:pPr>
        <w:pStyle w:val="Heading1"/>
        <w:spacing w:before="1"/>
        <w:jc w:val="both"/>
      </w:pPr>
      <w:bookmarkStart w:name="Özel popülasyonlara ilişkin ek bilgiler:" w:id="13"/>
      <w:bookmarkEnd w:id="13"/>
      <w:r>
        <w:rPr>
          <w:b w:val="0"/>
        </w:rPr>
      </w:r>
      <w:r>
        <w:rPr/>
        <w:t>Özel popülasyonlara ilişkin ek bilgiler:</w:t>
      </w:r>
    </w:p>
    <w:p>
      <w:pPr>
        <w:pStyle w:val="BodyText"/>
        <w:spacing w:before="11"/>
        <w:ind w:left="0"/>
        <w:rPr>
          <w:b/>
          <w:sz w:val="23"/>
        </w:rPr>
      </w:pPr>
    </w:p>
    <w:p>
      <w:pPr>
        <w:spacing w:before="0"/>
        <w:ind w:left="114" w:right="0" w:firstLine="0"/>
        <w:jc w:val="both"/>
        <w:rPr>
          <w:b/>
          <w:sz w:val="24"/>
        </w:rPr>
      </w:pPr>
      <w:r>
        <w:rPr>
          <w:b/>
          <w:sz w:val="24"/>
        </w:rPr>
        <w:t>Böbrek/Karaciğer yetmezliği:</w:t>
      </w:r>
    </w:p>
    <w:p>
      <w:pPr>
        <w:pStyle w:val="BodyText"/>
        <w:ind w:right="204"/>
        <w:jc w:val="both"/>
      </w:pPr>
      <w:r>
        <w:rPr/>
        <w:t>Sistemik emilim durumunda (geniş bir alana uzun süre uygulamada) metabolizma ve eliminasyon gecikebilir ve sistemik toksisite riski artabilir. Bu nedenle istenen klinik etkiyi sağlamak için en düşük miktarda ve en kısa sürede kullanılmalıdır.</w:t>
      </w:r>
    </w:p>
    <w:p>
      <w:pPr>
        <w:pStyle w:val="BodyText"/>
        <w:spacing w:before="7"/>
        <w:ind w:left="0"/>
        <w:rPr>
          <w:sz w:val="23"/>
        </w:rPr>
      </w:pPr>
    </w:p>
    <w:p>
      <w:pPr>
        <w:pStyle w:val="Heading1"/>
        <w:spacing w:line="275" w:lineRule="exact"/>
      </w:pPr>
      <w:bookmarkStart w:name="Pediyatrik popülasyon:" w:id="14"/>
      <w:bookmarkEnd w:id="14"/>
      <w:r>
        <w:rPr>
          <w:b w:val="0"/>
        </w:rPr>
      </w:r>
      <w:r>
        <w:rPr/>
        <w:t>Pediyatrik popülasyon:</w:t>
      </w:r>
    </w:p>
    <w:p>
      <w:pPr>
        <w:pStyle w:val="BodyText"/>
        <w:spacing w:line="272" w:lineRule="exact"/>
      </w:pPr>
      <w:r>
        <w:rPr/>
        <w:t>1 yaşın altındaki çocuklarda kontrendikedir.</w:t>
      </w:r>
    </w:p>
    <w:p>
      <w:pPr>
        <w:pStyle w:val="BodyText"/>
        <w:ind w:right="102"/>
      </w:pPr>
      <w:r>
        <w:rPr/>
        <w:t>Çocuklarda topikal kortikosteroidlere karşı daha fazla lokal ve sistemik yan etki gelişir ve genel olarak erişkinlere göre daha kısa süre ve daha az güçlü ilaçlarla tedavi gerekir.</w:t>
      </w:r>
    </w:p>
    <w:p>
      <w:pPr>
        <w:pStyle w:val="BodyText"/>
        <w:spacing w:before="6"/>
        <w:ind w:left="0"/>
        <w:rPr>
          <w:sz w:val="23"/>
        </w:rPr>
      </w:pPr>
    </w:p>
    <w:p>
      <w:pPr>
        <w:pStyle w:val="BodyText"/>
        <w:spacing w:before="1"/>
        <w:jc w:val="both"/>
      </w:pPr>
      <w:r>
        <w:rPr/>
        <w:t>Çocukluk yaş grubunda zorunlu kalınmadıkça kullanımı önerilmemektedir.</w:t>
      </w:r>
    </w:p>
    <w:p>
      <w:pPr>
        <w:pStyle w:val="BodyText"/>
        <w:spacing w:before="4"/>
        <w:ind w:left="0"/>
      </w:pPr>
    </w:p>
    <w:p>
      <w:pPr>
        <w:pStyle w:val="BodyText"/>
        <w:spacing w:line="235" w:lineRule="auto"/>
      </w:pPr>
      <w:r>
        <w:rPr/>
        <w:t>Terapötik yararın sağlandığı en düşük miktarın uygulanmasına dikkat edilmelidir. Eğer mümkünse kürler birkaç gün ile sınırlandırılmalı ve haftalık olarak gözden geçirilmelidir.</w:t>
      </w:r>
    </w:p>
    <w:p>
      <w:pPr>
        <w:pStyle w:val="BodyText"/>
        <w:spacing w:before="4"/>
        <w:ind w:left="0"/>
        <w:rPr>
          <w:sz w:val="23"/>
        </w:rPr>
      </w:pPr>
    </w:p>
    <w:p>
      <w:pPr>
        <w:pStyle w:val="Heading1"/>
        <w:jc w:val="both"/>
      </w:pPr>
      <w:bookmarkStart w:name="Geriyatrik popülasyon:" w:id="15"/>
      <w:bookmarkEnd w:id="15"/>
      <w:r>
        <w:rPr>
          <w:b w:val="0"/>
        </w:rPr>
      </w:r>
      <w:r>
        <w:rPr/>
        <w:t>Geriyatrik popülasyon:</w:t>
      </w:r>
    </w:p>
    <w:p>
      <w:pPr>
        <w:pStyle w:val="BodyText"/>
        <w:spacing w:line="237" w:lineRule="auto" w:before="5"/>
        <w:ind w:right="200"/>
        <w:jc w:val="both"/>
      </w:pPr>
      <w:r>
        <w:rPr/>
        <w:t>Klinik çalışmalar yaşlılar ile genç hastalar arasında yanıt farkı saptamamıştır. Yaşlılarda hepatik ve renal fonksiyonlarda azalma sıklığının daha fazla olması sistemik emilim ortaya çıktığında eliminasyonu geciktirebilir. Bu nedenle istenen klinik etkiyi sağlamak için en düşük miktarda ve en kısa sürede kullanılmalıdır.</w:t>
      </w:r>
    </w:p>
    <w:p>
      <w:pPr>
        <w:pStyle w:val="BodyText"/>
        <w:spacing w:before="1"/>
        <w:ind w:left="0"/>
        <w:rPr>
          <w:sz w:val="23"/>
        </w:rPr>
      </w:pPr>
    </w:p>
    <w:p>
      <w:pPr>
        <w:pStyle w:val="Heading1"/>
        <w:numPr>
          <w:ilvl w:val="1"/>
          <w:numId w:val="1"/>
        </w:numPr>
        <w:tabs>
          <w:tab w:pos="532" w:val="left" w:leader="none"/>
        </w:tabs>
        <w:spacing w:line="240" w:lineRule="auto" w:before="0" w:after="0"/>
        <w:ind w:left="532" w:right="0" w:hanging="418"/>
        <w:jc w:val="both"/>
      </w:pPr>
      <w:bookmarkStart w:name="4.3. Kontrendikasyonlar" w:id="16"/>
      <w:bookmarkEnd w:id="16"/>
      <w:r>
        <w:rPr>
          <w:b w:val="0"/>
        </w:rPr>
      </w:r>
      <w:bookmarkStart w:name="4.3. Kontrendikasyonlar" w:id="17"/>
      <w:bookmarkEnd w:id="17"/>
      <w:r>
        <w:rPr/>
        <w:t>Kon</w:t>
      </w:r>
      <w:r>
        <w:rPr/>
        <w:t>trendikasyonlar</w:t>
      </w:r>
    </w:p>
    <w:p>
      <w:pPr>
        <w:pStyle w:val="BodyText"/>
        <w:spacing w:before="2"/>
        <w:ind w:right="204"/>
        <w:jc w:val="both"/>
      </w:pPr>
      <w:r>
        <w:rPr/>
        <w:t>Klobetazol, diğer topikal kortikosteroidler ve benzeri maddelere veya ilacın içerdiği diğer yardımcı maddelere karşı aşırı duyarlılığı olanlarda kullanılmamalıdır (Bkz. Bölüm 6.1), Saçlı deri enfeksiyonlarında kontrendikedir.</w:t>
      </w:r>
    </w:p>
    <w:p>
      <w:pPr>
        <w:pStyle w:val="BodyText"/>
        <w:spacing w:before="7"/>
        <w:ind w:left="0"/>
      </w:pPr>
    </w:p>
    <w:p>
      <w:pPr>
        <w:pStyle w:val="BodyText"/>
        <w:spacing w:before="1"/>
        <w:jc w:val="both"/>
      </w:pPr>
      <w:bookmarkStart w:name="4.4. Özel kullanım uyarıları ve önlemler" w:id="18"/>
      <w:bookmarkEnd w:id="18"/>
      <w:r>
        <w:rPr/>
      </w:r>
      <w:r>
        <w:rPr/>
        <w:t>1 yaşın altındaki çocuklarda dermatitler dahil dermatozlarda kullanılmamalıdır</w:t>
      </w:r>
    </w:p>
    <w:p>
      <w:pPr>
        <w:pStyle w:val="Heading1"/>
        <w:numPr>
          <w:ilvl w:val="1"/>
          <w:numId w:val="1"/>
        </w:numPr>
        <w:tabs>
          <w:tab w:pos="532" w:val="left" w:leader="none"/>
        </w:tabs>
        <w:spacing w:line="240" w:lineRule="auto" w:before="2" w:after="0"/>
        <w:ind w:left="532" w:right="0" w:hanging="418"/>
        <w:jc w:val="both"/>
      </w:pPr>
      <w:r>
        <w:rPr/>
        <w:t>Özel kullanım uyarıları ve</w:t>
      </w:r>
      <w:r>
        <w:rPr>
          <w:spacing w:val="-1"/>
        </w:rPr>
        <w:t> </w:t>
      </w:r>
      <w:r>
        <w:rPr/>
        <w:t>önlemleri</w:t>
      </w:r>
    </w:p>
    <w:p>
      <w:pPr>
        <w:pStyle w:val="BodyText"/>
        <w:spacing w:before="2"/>
        <w:ind w:right="239"/>
        <w:jc w:val="both"/>
      </w:pPr>
      <w:r>
        <w:rPr/>
        <w:t>Klobetazol kortikosteroidlere veya preparattaki yardımcı maddelerden herhangi birine lokal hipersensitivite öyküsü olan hastalarda dikkatle kullanılmalıdır.Lokal hipersensitivite reaksiyonları teşhis edilen hastalığa benzer semptomlar gösterebilir. (Bkz. Bölüm 4.8)</w:t>
      </w:r>
    </w:p>
    <w:p>
      <w:pPr>
        <w:pStyle w:val="BodyText"/>
        <w:ind w:left="0"/>
      </w:pPr>
    </w:p>
    <w:p>
      <w:pPr>
        <w:pStyle w:val="BodyText"/>
      </w:pPr>
      <w:r>
        <w:rPr/>
        <w:t>Preparatı gözlerle temas ettirmemeye dikkat edilmelidir. Göz ile temas ettiği takdirde bol su ile</w:t>
      </w:r>
    </w:p>
    <w:p>
      <w:pPr>
        <w:pStyle w:val="BodyText"/>
      </w:pPr>
      <w:r>
        <w:rPr/>
        <w:t>yıkanmalıdır.</w:t>
      </w:r>
    </w:p>
    <w:p>
      <w:pPr>
        <w:pStyle w:val="BodyText"/>
        <w:spacing w:before="9"/>
        <w:ind w:left="0"/>
        <w:rPr>
          <w:sz w:val="23"/>
        </w:rPr>
      </w:pPr>
    </w:p>
    <w:p>
      <w:pPr>
        <w:pStyle w:val="BodyText"/>
        <w:spacing w:before="1"/>
      </w:pPr>
      <w:r>
        <w:rPr/>
        <w:t>Uygulama sırasında sigara içilmemelidir. Uygulama ardından saç kurutma makinesi dahil ateş, alev, ısı maruziyetinden kaçınılmalıdır.</w:t>
      </w:r>
    </w:p>
    <w:p>
      <w:pPr>
        <w:pStyle w:val="BodyText"/>
        <w:ind w:left="0"/>
      </w:pPr>
    </w:p>
    <w:p>
      <w:pPr>
        <w:pStyle w:val="BodyText"/>
        <w:ind w:right="236"/>
        <w:jc w:val="both"/>
      </w:pPr>
      <w:r>
        <w:rPr/>
        <w:t>Topikal steroidlerin artan sistemik absorpsiyonu sonucunda bazı bireylerde glukokortikosteroid yetmezliğine yol açan hiperkortizolizm (Cushing Sendromu) belirtileri ve tersinir hipotalamik-pituiter-adrenal (HPA) ekseninde baskılanma görülebilir. Bu durum gözlemlendiğinde ya ilacı uygulama sıklığı azaltılarak ilaç yavaş yavaş bırakılır ya da daha az potent bir kortikosteroid uygulanır. İlacın aniden bırakılması glukokortikosteroid yetmezliğine yol açabilir. (bkz. Bölüm 4.8).</w:t>
      </w:r>
    </w:p>
    <w:p>
      <w:pPr>
        <w:spacing w:after="0"/>
        <w:jc w:val="both"/>
        <w:sectPr>
          <w:pgSz w:w="11920" w:h="16850"/>
          <w:pgMar w:header="0" w:footer="782" w:top="1080" w:bottom="980" w:left="1280" w:right="1200"/>
        </w:sectPr>
      </w:pPr>
    </w:p>
    <w:p>
      <w:pPr>
        <w:pStyle w:val="BodyText"/>
        <w:spacing w:before="72"/>
        <w:ind w:right="235"/>
        <w:jc w:val="both"/>
      </w:pPr>
      <w:r>
        <w:rPr/>
        <w:t>Önerilen dozdan haricinde uzun süreli klobetasol propiyonat kullanımı ile ciddi osteonekroz enfeksiyonları (nekrotizan fasiit dahil) ve sistemik immünosupresyon (bazen geri dönüşümlü Kaposi sarkom lezyonları ile sonuçlanan) vakaları bildirilmiştir (bkz. Bölüm 4.2). Bazı durumlarda hastalar, diğer güçlü oral/topikal kortikosteroidler veya immünosupresörlerle (örn. metotreksat, mikofenolat mofetil) eşzamanlı olarak kullanmıştır. Lokal kortikosteroidlerle tedavi klinik olarak 4 haftayı aşarsa, daha az güçlü bir kortikosteroid preparatı ile devam edilmesi düşünülmelidir.</w:t>
      </w:r>
    </w:p>
    <w:p>
      <w:pPr>
        <w:pStyle w:val="BodyText"/>
        <w:spacing w:before="2"/>
        <w:ind w:left="0"/>
        <w:rPr>
          <w:sz w:val="23"/>
        </w:rPr>
      </w:pPr>
    </w:p>
    <w:p>
      <w:pPr>
        <w:pStyle w:val="BodyText"/>
        <w:spacing w:line="275" w:lineRule="exact" w:before="1"/>
      </w:pPr>
      <w:r>
        <w:rPr/>
        <w:t>Sistemik etkileri artıran risk faktörleri:</w:t>
      </w:r>
    </w:p>
    <w:p>
      <w:pPr>
        <w:pStyle w:val="ListParagraph"/>
        <w:numPr>
          <w:ilvl w:val="0"/>
          <w:numId w:val="3"/>
        </w:numPr>
        <w:tabs>
          <w:tab w:pos="259" w:val="left" w:leader="none"/>
        </w:tabs>
        <w:spacing w:line="275" w:lineRule="exact" w:before="0" w:after="0"/>
        <w:ind w:left="258" w:right="0" w:hanging="145"/>
        <w:jc w:val="left"/>
        <w:rPr>
          <w:sz w:val="24"/>
        </w:rPr>
      </w:pPr>
      <w:r>
        <w:rPr>
          <w:sz w:val="24"/>
        </w:rPr>
        <w:t>Topikal kortikosteroidlerin formulasyonu ve</w:t>
      </w:r>
      <w:r>
        <w:rPr>
          <w:spacing w:val="-2"/>
          <w:sz w:val="24"/>
        </w:rPr>
        <w:t> </w:t>
      </w:r>
      <w:r>
        <w:rPr>
          <w:sz w:val="24"/>
        </w:rPr>
        <w:t>etkileri</w:t>
      </w:r>
    </w:p>
    <w:p>
      <w:pPr>
        <w:pStyle w:val="ListParagraph"/>
        <w:numPr>
          <w:ilvl w:val="0"/>
          <w:numId w:val="3"/>
        </w:numPr>
        <w:tabs>
          <w:tab w:pos="259" w:val="left" w:leader="none"/>
        </w:tabs>
        <w:spacing w:line="275" w:lineRule="exact" w:before="0" w:after="0"/>
        <w:ind w:left="258" w:right="0" w:hanging="145"/>
        <w:jc w:val="left"/>
        <w:rPr>
          <w:sz w:val="24"/>
        </w:rPr>
      </w:pPr>
      <w:r>
        <w:rPr>
          <w:sz w:val="24"/>
        </w:rPr>
        <w:t>Maruz kalma</w:t>
      </w:r>
      <w:r>
        <w:rPr>
          <w:spacing w:val="-6"/>
          <w:sz w:val="24"/>
        </w:rPr>
        <w:t> </w:t>
      </w:r>
      <w:r>
        <w:rPr>
          <w:sz w:val="24"/>
        </w:rPr>
        <w:t>süresi</w:t>
      </w:r>
    </w:p>
    <w:p>
      <w:pPr>
        <w:pStyle w:val="ListParagraph"/>
        <w:numPr>
          <w:ilvl w:val="0"/>
          <w:numId w:val="3"/>
        </w:numPr>
        <w:tabs>
          <w:tab w:pos="259" w:val="left" w:leader="none"/>
        </w:tabs>
        <w:spacing w:line="275" w:lineRule="exact" w:before="0" w:after="0"/>
        <w:ind w:left="258" w:right="0" w:hanging="145"/>
        <w:jc w:val="left"/>
        <w:rPr>
          <w:sz w:val="24"/>
        </w:rPr>
      </w:pPr>
      <w:r>
        <w:rPr>
          <w:sz w:val="24"/>
        </w:rPr>
        <w:t>Geniş yüzey alanına</w:t>
      </w:r>
      <w:r>
        <w:rPr>
          <w:spacing w:val="-2"/>
          <w:sz w:val="24"/>
        </w:rPr>
        <w:t> </w:t>
      </w:r>
      <w:r>
        <w:rPr>
          <w:sz w:val="24"/>
        </w:rPr>
        <w:t>uygulama</w:t>
      </w:r>
    </w:p>
    <w:p>
      <w:pPr>
        <w:pStyle w:val="ListParagraph"/>
        <w:numPr>
          <w:ilvl w:val="0"/>
          <w:numId w:val="3"/>
        </w:numPr>
        <w:tabs>
          <w:tab w:pos="259" w:val="left" w:leader="none"/>
        </w:tabs>
        <w:spacing w:line="275" w:lineRule="exact" w:before="0" w:after="0"/>
        <w:ind w:left="258" w:right="0" w:hanging="145"/>
        <w:jc w:val="left"/>
        <w:rPr>
          <w:sz w:val="24"/>
        </w:rPr>
      </w:pPr>
      <w:r>
        <w:rPr>
          <w:sz w:val="24"/>
        </w:rPr>
        <w:t>Oklüzyon alanları (örneğin. kıvrımlı bölgeler) ya da üzeri kapatılmış</w:t>
      </w:r>
      <w:r>
        <w:rPr>
          <w:spacing w:val="-10"/>
          <w:sz w:val="24"/>
        </w:rPr>
        <w:t> </w:t>
      </w:r>
      <w:r>
        <w:rPr>
          <w:sz w:val="24"/>
        </w:rPr>
        <w:t>alanlar</w:t>
      </w:r>
    </w:p>
    <w:p>
      <w:pPr>
        <w:pStyle w:val="ListParagraph"/>
        <w:numPr>
          <w:ilvl w:val="0"/>
          <w:numId w:val="3"/>
        </w:numPr>
        <w:tabs>
          <w:tab w:pos="259" w:val="left" w:leader="none"/>
        </w:tabs>
        <w:spacing w:line="274" w:lineRule="exact" w:before="0" w:after="0"/>
        <w:ind w:left="258" w:right="0" w:hanging="145"/>
        <w:jc w:val="left"/>
        <w:rPr>
          <w:sz w:val="24"/>
        </w:rPr>
      </w:pPr>
      <w:r>
        <w:rPr>
          <w:sz w:val="24"/>
        </w:rPr>
        <w:t>Stratum corneumun artmış</w:t>
      </w:r>
      <w:r>
        <w:rPr>
          <w:spacing w:val="-1"/>
          <w:sz w:val="24"/>
        </w:rPr>
        <w:t> </w:t>
      </w:r>
      <w:r>
        <w:rPr>
          <w:sz w:val="24"/>
        </w:rPr>
        <w:t>hidrasyonu</w:t>
      </w:r>
    </w:p>
    <w:p>
      <w:pPr>
        <w:pStyle w:val="ListParagraph"/>
        <w:numPr>
          <w:ilvl w:val="0"/>
          <w:numId w:val="3"/>
        </w:numPr>
        <w:tabs>
          <w:tab w:pos="259" w:val="left" w:leader="none"/>
        </w:tabs>
        <w:spacing w:line="274" w:lineRule="exact" w:before="0" w:after="0"/>
        <w:ind w:left="258" w:right="0" w:hanging="145"/>
        <w:jc w:val="left"/>
        <w:rPr>
          <w:sz w:val="24"/>
        </w:rPr>
      </w:pPr>
      <w:r>
        <w:rPr>
          <w:sz w:val="24"/>
        </w:rPr>
        <w:t>İncelmiş deri bölgelerinde kullanım (örneğin;</w:t>
      </w:r>
      <w:r>
        <w:rPr>
          <w:spacing w:val="-4"/>
          <w:sz w:val="24"/>
        </w:rPr>
        <w:t> </w:t>
      </w:r>
      <w:r>
        <w:rPr>
          <w:sz w:val="24"/>
        </w:rPr>
        <w:t>yüz)</w:t>
      </w:r>
    </w:p>
    <w:p>
      <w:pPr>
        <w:pStyle w:val="ListParagraph"/>
        <w:numPr>
          <w:ilvl w:val="0"/>
          <w:numId w:val="3"/>
        </w:numPr>
        <w:tabs>
          <w:tab w:pos="259" w:val="left" w:leader="none"/>
        </w:tabs>
        <w:spacing w:line="275" w:lineRule="exact" w:before="0" w:after="0"/>
        <w:ind w:left="258" w:right="0" w:hanging="145"/>
        <w:jc w:val="left"/>
        <w:rPr>
          <w:sz w:val="24"/>
        </w:rPr>
      </w:pPr>
      <w:r>
        <w:rPr>
          <w:sz w:val="24"/>
        </w:rPr>
        <w:t>Çatlayan veya diğer sebeplerle deri bariyerinin bozulduğu alanlarda</w:t>
      </w:r>
      <w:r>
        <w:rPr>
          <w:spacing w:val="-13"/>
          <w:sz w:val="24"/>
        </w:rPr>
        <w:t> </w:t>
      </w:r>
      <w:r>
        <w:rPr>
          <w:sz w:val="24"/>
        </w:rPr>
        <w:t>kullanım</w:t>
      </w:r>
    </w:p>
    <w:p>
      <w:pPr>
        <w:pStyle w:val="ListParagraph"/>
        <w:numPr>
          <w:ilvl w:val="0"/>
          <w:numId w:val="3"/>
        </w:numPr>
        <w:tabs>
          <w:tab w:pos="261" w:val="left" w:leader="none"/>
        </w:tabs>
        <w:spacing w:line="240" w:lineRule="auto" w:before="2" w:after="0"/>
        <w:ind w:left="114" w:right="1114" w:firstLine="0"/>
        <w:jc w:val="left"/>
        <w:rPr>
          <w:sz w:val="24"/>
        </w:rPr>
      </w:pPr>
      <w:r>
        <w:rPr>
          <w:sz w:val="24"/>
        </w:rPr>
        <w:t>Yetişkinlere kıyasla çocuklarda ve bebeklerde absorpsiyonun daha fazla olması sebebiyle sistemik etkilere duyarlılık daha fazla oranda olabilir. Bu durum çocukların deri bariyerlerinin tam olarak olgunlaşmamasından ve yetişkinlere nazaran kiloya oranla daha geniş deri yüzeyine sahip olmalarından</w:t>
      </w:r>
      <w:r>
        <w:rPr>
          <w:spacing w:val="-13"/>
          <w:sz w:val="24"/>
        </w:rPr>
        <w:t> </w:t>
      </w:r>
      <w:r>
        <w:rPr>
          <w:sz w:val="24"/>
        </w:rPr>
        <w:t>kaynaklanmaktadır.</w:t>
      </w:r>
    </w:p>
    <w:p>
      <w:pPr>
        <w:pStyle w:val="BodyText"/>
        <w:ind w:left="0"/>
        <w:rPr>
          <w:sz w:val="26"/>
        </w:rPr>
      </w:pPr>
    </w:p>
    <w:p>
      <w:pPr>
        <w:pStyle w:val="BodyText"/>
        <w:spacing w:before="184"/>
        <w:jc w:val="both"/>
      </w:pPr>
      <w:r>
        <w:rPr>
          <w:u w:val="single"/>
        </w:rPr>
        <w:t>Görme Bozuklukları</w:t>
      </w:r>
    </w:p>
    <w:p>
      <w:pPr>
        <w:pStyle w:val="BodyText"/>
        <w:ind w:right="206"/>
        <w:jc w:val="both"/>
      </w:pPr>
      <w:r>
        <w:rPr/>
        <w:t>Kortikosteroidlerin sistemik ve topikal kullanımında görme bozukluklarına neden olabileceği bildirilmiştir. Eğer hastalarda bulanık görme ya da diğer görme bozuklukları gibi semptomlar gelişirse, sistemik veya topikal kortikosteroid kullanımı sonrası katarakt, glokom ya da santral seröz koryoretinopati gibi nadir hastalıklar olasılığının değerlendirilmesi için göz doktoruna danışılması önerilir.</w:t>
      </w:r>
    </w:p>
    <w:p>
      <w:pPr>
        <w:pStyle w:val="BodyText"/>
        <w:spacing w:before="11"/>
        <w:ind w:left="0"/>
        <w:rPr>
          <w:sz w:val="23"/>
        </w:rPr>
      </w:pPr>
    </w:p>
    <w:p>
      <w:pPr>
        <w:pStyle w:val="BodyText"/>
        <w:jc w:val="both"/>
      </w:pPr>
      <w:r>
        <w:rPr>
          <w:u w:val="single"/>
        </w:rPr>
        <w:t>Çocuklarda ve bebeklerde tedavi süresi</w:t>
      </w:r>
    </w:p>
    <w:p>
      <w:pPr>
        <w:pStyle w:val="BodyText"/>
        <w:ind w:right="204"/>
        <w:jc w:val="both"/>
      </w:pPr>
      <w:r>
        <w:rPr/>
        <w:t>Çocuklar topikal kortikosteroidlerin deri inceltici etkilerine karşı daha duyarlı olduklarından CLOVATE'ın çocuklarda kullanımı birkaç gün ile sınırlandırılmalıdır. Oklüzyon kullanılmamalıdır.</w:t>
      </w:r>
    </w:p>
    <w:p>
      <w:pPr>
        <w:pStyle w:val="BodyText"/>
        <w:spacing w:before="207"/>
        <w:jc w:val="both"/>
      </w:pPr>
      <w:r>
        <w:rPr>
          <w:u w:val="single"/>
        </w:rPr>
        <w:t>Psöriyaziste kullanım</w:t>
      </w:r>
    </w:p>
    <w:p>
      <w:pPr>
        <w:pStyle w:val="BodyText"/>
        <w:ind w:right="207"/>
        <w:jc w:val="both"/>
      </w:pPr>
      <w:r>
        <w:rPr/>
        <w:t>Topikal kortikosteroidler psöriaziste dikkatli kullanılmalıdır; bazı olgularda rebound nüksler, tolerans gelişmesi, yaygın püstüler psöriazis riski ve derinin bariyer fonksiyonun azalmasına bağlı olarak lokal ve sistemik toksisite gelişmesi bildirilmiştir. Topikal kortikosteroidler psöriaziste kullanıldığında hastaların yakından izlenmesi önemlidir.</w:t>
      </w:r>
    </w:p>
    <w:p>
      <w:pPr>
        <w:pStyle w:val="BodyText"/>
        <w:ind w:left="0"/>
      </w:pPr>
    </w:p>
    <w:p>
      <w:pPr>
        <w:pStyle w:val="BodyText"/>
        <w:jc w:val="both"/>
      </w:pPr>
      <w:r>
        <w:rPr>
          <w:u w:val="single"/>
        </w:rPr>
        <w:t>Kronik bacak ülseri</w:t>
      </w:r>
    </w:p>
    <w:p>
      <w:pPr>
        <w:pStyle w:val="BodyText"/>
        <w:ind w:right="206"/>
        <w:jc w:val="both"/>
      </w:pPr>
      <w:r>
        <w:rPr/>
        <w:t>Topikal kortikosteroidler bazen kronik bacak ülserleri çevresindeki dermatitin tedavisinde kullanılır. Ancak bu kullanım daha yüksek lokal aşırı duyarlılık reaksiyonları ve artmış lokal enfeksiyon riski ile ilişkilendirilebilir.</w:t>
      </w:r>
    </w:p>
    <w:p>
      <w:pPr>
        <w:pStyle w:val="BodyText"/>
        <w:spacing w:before="206"/>
        <w:jc w:val="both"/>
      </w:pPr>
      <w:r>
        <w:rPr>
          <w:u w:val="single"/>
        </w:rPr>
        <w:t>Eş zamanlı enfeksiyon</w:t>
      </w:r>
    </w:p>
    <w:p>
      <w:pPr>
        <w:pStyle w:val="BodyText"/>
        <w:ind w:right="203"/>
        <w:jc w:val="both"/>
      </w:pPr>
      <w:r>
        <w:rPr/>
        <w:t>Enfekte  olmuş  enflamatuvar  lezyonlar  lokal  kortikosteroidler  ile   tedavi   edilirken,   uygun  antimikrobiyal  tedavi  yapılmalıdır.   Enfeksiyonda   herhangi   bir   yayılma görülürse, kortikosteroid tedavisi hemen kesilmeli ve antimikrobiyal ajanlar</w:t>
      </w:r>
      <w:r>
        <w:rPr>
          <w:spacing w:val="-17"/>
        </w:rPr>
        <w:t> </w:t>
      </w:r>
      <w:r>
        <w:rPr/>
        <w:t>verilmelidir.</w:t>
      </w:r>
    </w:p>
    <w:p>
      <w:pPr>
        <w:spacing w:after="0"/>
        <w:jc w:val="both"/>
        <w:sectPr>
          <w:pgSz w:w="11920" w:h="16850"/>
          <w:pgMar w:header="0" w:footer="782" w:top="1080" w:bottom="980" w:left="1280" w:right="1200"/>
        </w:sectPr>
      </w:pPr>
    </w:p>
    <w:p>
      <w:pPr>
        <w:pStyle w:val="BodyText"/>
        <w:spacing w:before="72"/>
        <w:jc w:val="both"/>
      </w:pPr>
      <w:r>
        <w:rPr>
          <w:u w:val="single"/>
        </w:rPr>
        <w:t>Oklüzyon ile enfeksiyon riski</w:t>
      </w:r>
    </w:p>
    <w:p>
      <w:pPr>
        <w:pStyle w:val="BodyText"/>
        <w:ind w:right="205"/>
        <w:jc w:val="both"/>
      </w:pPr>
      <w:r>
        <w:rPr/>
        <w:t>Bakteriyal enfeksiyonları ısı, deri katmanları arasındaki nemli ortam ya da kapalı giysiler sebebiyle gelişir. Yeni bir oklüzif sargı uygulanmadan önce uygulamanın yapılacağı bölge temizlenmelidir.</w:t>
      </w:r>
    </w:p>
    <w:p>
      <w:pPr>
        <w:pStyle w:val="BodyText"/>
        <w:ind w:left="0"/>
      </w:pPr>
    </w:p>
    <w:p>
      <w:pPr>
        <w:pStyle w:val="BodyText"/>
        <w:spacing w:before="1"/>
      </w:pPr>
      <w:r>
        <w:rPr>
          <w:u w:val="single"/>
        </w:rPr>
        <w:t>Pediyatrik popülasyon </w:t>
      </w:r>
    </w:p>
    <w:p>
      <w:pPr>
        <w:pStyle w:val="BodyText"/>
      </w:pPr>
      <w:r>
        <w:rPr/>
        <w:t>Bebeklerde</w:t>
      </w:r>
      <w:r>
        <w:rPr>
          <w:spacing w:val="-15"/>
        </w:rPr>
        <w:t> </w:t>
      </w:r>
      <w:r>
        <w:rPr/>
        <w:t>ve</w:t>
      </w:r>
      <w:r>
        <w:rPr>
          <w:spacing w:val="-14"/>
        </w:rPr>
        <w:t> </w:t>
      </w:r>
      <w:r>
        <w:rPr/>
        <w:t>12</w:t>
      </w:r>
      <w:r>
        <w:rPr>
          <w:spacing w:val="-12"/>
        </w:rPr>
        <w:t> </w:t>
      </w:r>
      <w:r>
        <w:rPr/>
        <w:t>yaşın</w:t>
      </w:r>
      <w:r>
        <w:rPr>
          <w:spacing w:val="-11"/>
        </w:rPr>
        <w:t> </w:t>
      </w:r>
      <w:r>
        <w:rPr/>
        <w:t>altındaki</w:t>
      </w:r>
      <w:r>
        <w:rPr>
          <w:spacing w:val="-13"/>
        </w:rPr>
        <w:t> </w:t>
      </w:r>
      <w:r>
        <w:rPr/>
        <w:t>çocuklarda</w:t>
      </w:r>
      <w:r>
        <w:rPr>
          <w:spacing w:val="-12"/>
        </w:rPr>
        <w:t> </w:t>
      </w:r>
      <w:r>
        <w:rPr/>
        <w:t>adrenal</w:t>
      </w:r>
      <w:r>
        <w:rPr>
          <w:spacing w:val="-13"/>
        </w:rPr>
        <w:t> </w:t>
      </w:r>
      <w:r>
        <w:rPr/>
        <w:t>supresyona</w:t>
      </w:r>
      <w:r>
        <w:rPr>
          <w:spacing w:val="-14"/>
        </w:rPr>
        <w:t> </w:t>
      </w:r>
      <w:r>
        <w:rPr/>
        <w:t>yol</w:t>
      </w:r>
      <w:r>
        <w:rPr>
          <w:spacing w:val="-13"/>
        </w:rPr>
        <w:t> </w:t>
      </w:r>
      <w:r>
        <w:rPr/>
        <w:t>açabileceği</w:t>
      </w:r>
      <w:r>
        <w:rPr>
          <w:spacing w:val="-13"/>
        </w:rPr>
        <w:t> </w:t>
      </w:r>
      <w:r>
        <w:rPr/>
        <w:t>için</w:t>
      </w:r>
      <w:r>
        <w:rPr>
          <w:spacing w:val="-13"/>
        </w:rPr>
        <w:t> </w:t>
      </w:r>
      <w:r>
        <w:rPr/>
        <w:t>mümkünse uzun süreli devamlı topikal kortikosteroid kullanımından kaçınılmalıdır. Çocuklar topikal kortikosteroidlerin atrofik etkilerine karşı daha</w:t>
      </w:r>
      <w:r>
        <w:rPr>
          <w:spacing w:val="-6"/>
        </w:rPr>
        <w:t> </w:t>
      </w:r>
      <w:r>
        <w:rPr/>
        <w:t>duyarlıdır.</w:t>
      </w:r>
    </w:p>
    <w:p>
      <w:pPr>
        <w:pStyle w:val="BodyText"/>
        <w:spacing w:before="11"/>
        <w:ind w:left="0"/>
        <w:rPr>
          <w:sz w:val="23"/>
        </w:rPr>
      </w:pPr>
    </w:p>
    <w:p>
      <w:pPr>
        <w:pStyle w:val="BodyText"/>
      </w:pPr>
      <w:r>
        <w:rPr/>
        <w:t>Gebelikte doktor tavsiyesi ile kullanılmalıdır.</w:t>
      </w:r>
    </w:p>
    <w:p>
      <w:pPr>
        <w:pStyle w:val="BodyText"/>
        <w:ind w:left="0"/>
      </w:pPr>
    </w:p>
    <w:p>
      <w:pPr>
        <w:pStyle w:val="Heading1"/>
        <w:numPr>
          <w:ilvl w:val="1"/>
          <w:numId w:val="1"/>
        </w:numPr>
        <w:tabs>
          <w:tab w:pos="532" w:val="left" w:leader="none"/>
        </w:tabs>
        <w:spacing w:line="240" w:lineRule="auto" w:before="0" w:after="0"/>
        <w:ind w:left="532" w:right="0" w:hanging="418"/>
        <w:jc w:val="both"/>
      </w:pPr>
      <w:bookmarkStart w:name="4.5. Diğer tıbbi ürünler ile etkileşimle" w:id="19"/>
      <w:bookmarkEnd w:id="19"/>
      <w:r>
        <w:rPr>
          <w:b w:val="0"/>
        </w:rPr>
      </w:r>
      <w:bookmarkStart w:name="4.5. Diğer tıbbi ürünler ile etkileşimle" w:id="20"/>
      <w:bookmarkEnd w:id="20"/>
      <w:r>
        <w:rPr/>
        <w:t>D</w:t>
      </w:r>
      <w:r>
        <w:rPr/>
        <w:t>iğer tıbbi ürünler ile etkileşimler ve diğer etkileşim</w:t>
      </w:r>
      <w:r>
        <w:rPr>
          <w:spacing w:val="-16"/>
        </w:rPr>
        <w:t> </w:t>
      </w:r>
      <w:r>
        <w:rPr/>
        <w:t>şekilleri</w:t>
      </w:r>
    </w:p>
    <w:p>
      <w:pPr>
        <w:pStyle w:val="BodyText"/>
        <w:ind w:right="199"/>
        <w:jc w:val="both"/>
      </w:pPr>
      <w:r>
        <w:rPr/>
        <w:t>CYP3A4 inhibitörü ilaçlarla (örneğin. ritonavir, itrakonazol) eşzamanlı kullanımın kortikosteroid metabolizmasını baskılayarak sistemik maruziyette artışa yol açtığı gösterilmiştir. Bu etkileşimin klinik olarak önemli düzeye ulaşması uygulanan kortikosteroid dozu ve uygulama yolu ile CYP3A4 inhibitörünün gücüne bağlıdır.</w:t>
      </w:r>
    </w:p>
    <w:p>
      <w:pPr>
        <w:pStyle w:val="BodyText"/>
        <w:ind w:left="0"/>
      </w:pPr>
    </w:p>
    <w:p>
      <w:pPr>
        <w:pStyle w:val="Heading1"/>
      </w:pPr>
      <w:bookmarkStart w:name="Özel popülasyonlara ilişkin ek bilgiler" w:id="21"/>
      <w:bookmarkEnd w:id="21"/>
      <w:r>
        <w:rPr>
          <w:b w:val="0"/>
        </w:rPr>
      </w:r>
      <w:r>
        <w:rPr/>
        <w:t>Özel popülasyonlara ilişkin ek bilgiler</w:t>
      </w:r>
    </w:p>
    <w:p>
      <w:pPr>
        <w:pStyle w:val="BodyText"/>
      </w:pPr>
      <w:r>
        <w:rPr/>
        <w:t>Rapor edilmemiştir.</w:t>
      </w:r>
    </w:p>
    <w:p>
      <w:pPr>
        <w:pStyle w:val="BodyText"/>
        <w:ind w:left="0"/>
      </w:pPr>
    </w:p>
    <w:p>
      <w:pPr>
        <w:pStyle w:val="Heading1"/>
      </w:pPr>
      <w:bookmarkStart w:name="Pediyatrik popülasyon:" w:id="22"/>
      <w:bookmarkEnd w:id="22"/>
      <w:r>
        <w:rPr>
          <w:b w:val="0"/>
        </w:rPr>
      </w:r>
      <w:r>
        <w:rPr/>
        <w:t>Pediyatrik popülasyon:</w:t>
      </w:r>
    </w:p>
    <w:p>
      <w:pPr>
        <w:pStyle w:val="BodyText"/>
      </w:pPr>
      <w:bookmarkStart w:name="4.6. Gebelik ve laktasyon Genel tavsiye" w:id="23"/>
      <w:bookmarkEnd w:id="23"/>
      <w:r>
        <w:rPr/>
      </w:r>
      <w:r>
        <w:rPr/>
        <w:t>Rapor edilmemiştir.</w:t>
      </w:r>
    </w:p>
    <w:p>
      <w:pPr>
        <w:pStyle w:val="Heading1"/>
        <w:numPr>
          <w:ilvl w:val="1"/>
          <w:numId w:val="1"/>
        </w:numPr>
        <w:tabs>
          <w:tab w:pos="540" w:val="left" w:leader="none"/>
        </w:tabs>
        <w:spacing w:line="410" w:lineRule="atLeast" w:before="142" w:after="0"/>
        <w:ind w:left="114" w:right="6778" w:firstLine="0"/>
        <w:jc w:val="left"/>
      </w:pPr>
      <w:r>
        <w:rPr/>
        <w:t>Gebelik ve </w:t>
      </w:r>
      <w:r>
        <w:rPr>
          <w:spacing w:val="-3"/>
        </w:rPr>
        <w:t>laktasyon </w:t>
      </w:r>
      <w:r>
        <w:rPr/>
        <w:t>Genel</w:t>
      </w:r>
      <w:r>
        <w:rPr>
          <w:spacing w:val="-1"/>
        </w:rPr>
        <w:t> </w:t>
      </w:r>
      <w:r>
        <w:rPr/>
        <w:t>tavsiye</w:t>
      </w:r>
    </w:p>
    <w:p>
      <w:pPr>
        <w:pStyle w:val="BodyText"/>
        <w:spacing w:before="3"/>
      </w:pPr>
      <w:r>
        <w:rPr/>
        <w:t>Gebelik kategorisi: C</w:t>
      </w:r>
    </w:p>
    <w:p>
      <w:pPr>
        <w:pStyle w:val="BodyText"/>
        <w:spacing w:before="9"/>
        <w:ind w:left="0"/>
        <w:rPr>
          <w:sz w:val="23"/>
        </w:rPr>
      </w:pPr>
    </w:p>
    <w:p>
      <w:pPr>
        <w:spacing w:line="237" w:lineRule="auto" w:before="0"/>
        <w:ind w:left="114" w:right="233" w:firstLine="0"/>
        <w:jc w:val="left"/>
        <w:rPr>
          <w:sz w:val="24"/>
        </w:rPr>
      </w:pPr>
      <w:bookmarkStart w:name="Çocuk doğurma potansiyeli bulunan kadınl" w:id="24"/>
      <w:bookmarkEnd w:id="24"/>
      <w:r>
        <w:rPr/>
      </w:r>
      <w:r>
        <w:rPr>
          <w:b/>
          <w:sz w:val="24"/>
        </w:rPr>
        <w:t>Çocuk doğurma potansiyeli bulunan kadınlar / Doğum kontrolü (Kontrasepsiyon)  </w:t>
      </w:r>
      <w:r>
        <w:rPr>
          <w:sz w:val="24"/>
        </w:rPr>
        <w:t>Çocuk doğurma potansiyeli olan kadınlarda kullanımda özel bir kontrasepsiyona gerek yoktur. Gebelik planlayan kadınlarda geniş ölçüde, yüksek dozda ve uzun süre</w:t>
      </w:r>
      <w:r>
        <w:rPr>
          <w:spacing w:val="-10"/>
          <w:sz w:val="24"/>
        </w:rPr>
        <w:t> </w:t>
      </w:r>
      <w:r>
        <w:rPr>
          <w:sz w:val="24"/>
        </w:rPr>
        <w:t>kullanılmamalıdır.</w:t>
      </w:r>
    </w:p>
    <w:p>
      <w:pPr>
        <w:pStyle w:val="BodyText"/>
        <w:spacing w:before="11"/>
        <w:ind w:left="0"/>
        <w:rPr>
          <w:sz w:val="23"/>
        </w:rPr>
      </w:pPr>
    </w:p>
    <w:p>
      <w:pPr>
        <w:pStyle w:val="Heading1"/>
      </w:pPr>
      <w:bookmarkStart w:name="Gebelik dönemi" w:id="25"/>
      <w:bookmarkEnd w:id="25"/>
      <w:r>
        <w:rPr>
          <w:b w:val="0"/>
        </w:rPr>
      </w:r>
      <w:r>
        <w:rPr/>
        <w:t>Gebelik dönemi</w:t>
      </w:r>
    </w:p>
    <w:p>
      <w:pPr>
        <w:pStyle w:val="BodyText"/>
      </w:pPr>
      <w:r>
        <w:rPr/>
        <w:t>Klobetazol propiyonatın gebe kadınlarda kullanımına ilişkin yeterli veri mevcut değildir.</w:t>
      </w:r>
    </w:p>
    <w:p>
      <w:pPr>
        <w:pStyle w:val="BodyText"/>
        <w:spacing w:before="2"/>
        <w:ind w:left="0"/>
      </w:pPr>
    </w:p>
    <w:p>
      <w:pPr>
        <w:pStyle w:val="BodyText"/>
        <w:spacing w:line="237" w:lineRule="auto"/>
        <w:ind w:right="201"/>
        <w:jc w:val="both"/>
      </w:pPr>
      <w:r>
        <w:rPr/>
        <w:t>Kortikosteroidlerin hamile hayvanlara lokal uygulanması, fetüsün gelişmesinde anormalliklere yol açabilir. İnsanlar için bu bulgunun ilişkisi tespit edilmemiştir. Hayvanlar üzerinde yapılan çalışmalar, fetal gelişim üzerindeki etkiler bakımından yetersizdir (Bkz. Bölüm 5.3). İnsanlara yönelik potansiyel risk bilinmemektedir. CLOVATE, gerekli olmadıkça gebelik döneminde kullanılmamalıdır.Buna</w:t>
      </w:r>
      <w:r>
        <w:rPr>
          <w:spacing w:val="-14"/>
        </w:rPr>
        <w:t> </w:t>
      </w:r>
      <w:r>
        <w:rPr/>
        <w:t>karşın,</w:t>
      </w:r>
      <w:r>
        <w:rPr>
          <w:spacing w:val="-10"/>
        </w:rPr>
        <w:t> </w:t>
      </w:r>
      <w:r>
        <w:rPr/>
        <w:t>klobetazol</w:t>
      </w:r>
      <w:r>
        <w:rPr>
          <w:spacing w:val="-12"/>
        </w:rPr>
        <w:t> </w:t>
      </w:r>
      <w:r>
        <w:rPr/>
        <w:t>gebelik</w:t>
      </w:r>
      <w:r>
        <w:rPr>
          <w:spacing w:val="-10"/>
        </w:rPr>
        <w:t> </w:t>
      </w:r>
      <w:r>
        <w:rPr/>
        <w:t>sırasında</w:t>
      </w:r>
      <w:r>
        <w:rPr>
          <w:spacing w:val="-13"/>
        </w:rPr>
        <w:t> </w:t>
      </w:r>
      <w:r>
        <w:rPr/>
        <w:t>yalnızca</w:t>
      </w:r>
      <w:r>
        <w:rPr>
          <w:spacing w:val="-12"/>
        </w:rPr>
        <w:t> </w:t>
      </w:r>
      <w:r>
        <w:rPr/>
        <w:t>anne</w:t>
      </w:r>
      <w:r>
        <w:rPr>
          <w:spacing w:val="-11"/>
        </w:rPr>
        <w:t> </w:t>
      </w:r>
      <w:r>
        <w:rPr/>
        <w:t>için</w:t>
      </w:r>
      <w:r>
        <w:rPr>
          <w:spacing w:val="-10"/>
        </w:rPr>
        <w:t> </w:t>
      </w:r>
      <w:r>
        <w:rPr/>
        <w:t>beklenen</w:t>
      </w:r>
      <w:r>
        <w:rPr>
          <w:spacing w:val="-11"/>
        </w:rPr>
        <w:t> </w:t>
      </w:r>
      <w:r>
        <w:rPr/>
        <w:t>yararın fetüse verebileceği riskten fazla olması halinde kullanılmalıdır. Kullanılması durumunda en az miktarda ve en kısa süre boyunca</w:t>
      </w:r>
      <w:r>
        <w:rPr>
          <w:spacing w:val="-9"/>
        </w:rPr>
        <w:t> </w:t>
      </w:r>
      <w:r>
        <w:rPr/>
        <w:t>kullanılmalıdır.</w:t>
      </w:r>
    </w:p>
    <w:p>
      <w:pPr>
        <w:pStyle w:val="BodyText"/>
        <w:spacing w:before="9"/>
        <w:ind w:left="0"/>
        <w:rPr>
          <w:sz w:val="23"/>
        </w:rPr>
      </w:pPr>
    </w:p>
    <w:p>
      <w:pPr>
        <w:pStyle w:val="Heading1"/>
        <w:spacing w:line="275" w:lineRule="exact" w:before="1"/>
      </w:pPr>
      <w:bookmarkStart w:name="Laktasyon dönemi" w:id="26"/>
      <w:bookmarkEnd w:id="26"/>
      <w:r>
        <w:rPr>
          <w:b w:val="0"/>
        </w:rPr>
      </w:r>
      <w:r>
        <w:rPr/>
        <w:t>Laktasyon dönemi</w:t>
      </w:r>
    </w:p>
    <w:p>
      <w:pPr>
        <w:pStyle w:val="BodyText"/>
        <w:spacing w:line="275" w:lineRule="exact"/>
      </w:pPr>
      <w:r>
        <w:rPr/>
        <w:t>Topikal kortikosteroidlerin laktasyonda kullanımının güvenliliği saptanmamıştır.</w:t>
      </w:r>
    </w:p>
    <w:p>
      <w:pPr>
        <w:pStyle w:val="BodyText"/>
        <w:spacing w:before="2"/>
        <w:ind w:left="0"/>
      </w:pPr>
    </w:p>
    <w:p>
      <w:pPr>
        <w:pStyle w:val="BodyText"/>
        <w:spacing w:line="237" w:lineRule="auto"/>
        <w:ind w:right="202"/>
        <w:jc w:val="both"/>
      </w:pPr>
      <w:r>
        <w:rPr/>
        <w:t>Topikal kortikosteroidlerin anne sütünde saptanmaya yetecek düzeyde sistemik emilimi olup olmadığı bilinmemektedir. Klobetazol laktasyon sırasında yalnızca anne için beklenen yararın bebeğe verebileceği riskten fazla olması halinde kullanılmalıdır. Laktasyon döneminde klobetazol kullanılacaksa bebeğin kazara yutmasını engellemek amacıyla meme bölgesine sürülmemelidir.</w:t>
      </w:r>
    </w:p>
    <w:p>
      <w:pPr>
        <w:spacing w:after="0" w:line="237" w:lineRule="auto"/>
        <w:jc w:val="both"/>
        <w:sectPr>
          <w:pgSz w:w="11920" w:h="16850"/>
          <w:pgMar w:header="0" w:footer="782" w:top="1080" w:bottom="980" w:left="1280" w:right="1200"/>
        </w:sectPr>
      </w:pPr>
    </w:p>
    <w:p>
      <w:pPr>
        <w:pStyle w:val="Heading1"/>
        <w:spacing w:before="75"/>
        <w:jc w:val="both"/>
      </w:pPr>
      <w:bookmarkStart w:name="Üreme yeteneği/Fertilite" w:id="27"/>
      <w:bookmarkEnd w:id="27"/>
      <w:r>
        <w:rPr>
          <w:b w:val="0"/>
        </w:rPr>
      </w:r>
      <w:r>
        <w:rPr/>
        <w:t>Üreme yeteneği/Fertilite</w:t>
      </w:r>
    </w:p>
    <w:p>
      <w:pPr>
        <w:pStyle w:val="BodyText"/>
        <w:spacing w:line="237" w:lineRule="auto" w:before="5"/>
        <w:ind w:right="202"/>
        <w:jc w:val="both"/>
      </w:pPr>
      <w:r>
        <w:rPr/>
        <w:t>Hayvanlar üzerinde yapılan araştırmalar üreme toksisitesinin bulunduğunu göstermiştir. İnsanlara yönelik potansiyel risk bilinmemektedir. İnsanlarda topikal kortikosteroidlerin fertiliteye etkisini değerlendirecek veri bulunmamaktadır. Sıçanlara subkutan uygulanan klobetazol çiftleşme performansını etkilememiş fakat yüksek dozda fertilite azalmıştır.</w:t>
      </w:r>
    </w:p>
    <w:p>
      <w:pPr>
        <w:pStyle w:val="BodyText"/>
        <w:spacing w:line="275" w:lineRule="exact"/>
        <w:jc w:val="both"/>
      </w:pPr>
      <w:r>
        <w:rPr/>
        <w:t>(Bkz. Bölüm 5.3)</w:t>
      </w:r>
    </w:p>
    <w:p>
      <w:pPr>
        <w:pStyle w:val="BodyText"/>
        <w:spacing w:before="2"/>
        <w:ind w:left="0"/>
      </w:pPr>
    </w:p>
    <w:p>
      <w:pPr>
        <w:pStyle w:val="Heading1"/>
        <w:numPr>
          <w:ilvl w:val="1"/>
          <w:numId w:val="1"/>
        </w:numPr>
        <w:tabs>
          <w:tab w:pos="540" w:val="left" w:leader="none"/>
        </w:tabs>
        <w:spacing w:line="274" w:lineRule="exact" w:before="0" w:after="0"/>
        <w:ind w:left="539" w:right="0" w:hanging="426"/>
        <w:jc w:val="both"/>
      </w:pPr>
      <w:bookmarkStart w:name="4.7. Araç ve makine kullanımı üzerindeki" w:id="28"/>
      <w:bookmarkEnd w:id="28"/>
      <w:r>
        <w:rPr>
          <w:b w:val="0"/>
        </w:rPr>
      </w:r>
      <w:bookmarkStart w:name="4.7. Araç ve makine kullanımı üzerindeki" w:id="29"/>
      <w:bookmarkEnd w:id="29"/>
      <w:r>
        <w:rPr/>
        <w:t>Ar</w:t>
      </w:r>
      <w:r>
        <w:rPr/>
        <w:t>aç ve makine kullanımı üzerindeki</w:t>
      </w:r>
      <w:r>
        <w:rPr>
          <w:spacing w:val="-9"/>
        </w:rPr>
        <w:t> </w:t>
      </w:r>
      <w:r>
        <w:rPr/>
        <w:t>etkiler</w:t>
      </w:r>
    </w:p>
    <w:p>
      <w:pPr>
        <w:pStyle w:val="BodyText"/>
        <w:spacing w:line="232" w:lineRule="auto" w:before="4"/>
        <w:ind w:right="209"/>
        <w:jc w:val="both"/>
      </w:pPr>
      <w:r>
        <w:rPr/>
        <w:t>Klobetazolun araç ve makine kullanımı üzerindeki etkisini araştıran çalışma bulunmamaktadır. Topikal klobetazolun advers reaksiyon profiline göre bu aktiviteler üzerinde olumsuz etki oluşturması beklenmez.</w:t>
      </w:r>
    </w:p>
    <w:p>
      <w:pPr>
        <w:pStyle w:val="BodyText"/>
        <w:ind w:left="0"/>
        <w:rPr>
          <w:sz w:val="25"/>
        </w:rPr>
      </w:pPr>
    </w:p>
    <w:p>
      <w:pPr>
        <w:pStyle w:val="Heading1"/>
        <w:numPr>
          <w:ilvl w:val="1"/>
          <w:numId w:val="1"/>
        </w:numPr>
        <w:tabs>
          <w:tab w:pos="540" w:val="left" w:leader="none"/>
        </w:tabs>
        <w:spacing w:line="240" w:lineRule="auto" w:before="0" w:after="0"/>
        <w:ind w:left="539" w:right="0" w:hanging="426"/>
        <w:jc w:val="both"/>
      </w:pPr>
      <w:bookmarkStart w:name="4.8. İstenmeyen etkiler" w:id="30"/>
      <w:bookmarkEnd w:id="30"/>
      <w:r>
        <w:rPr>
          <w:b w:val="0"/>
        </w:rPr>
      </w:r>
      <w:bookmarkStart w:name="4.8. İstenmeyen etkiler" w:id="31"/>
      <w:bookmarkEnd w:id="31"/>
      <w:r>
        <w:rPr/>
        <w:t>İs</w:t>
      </w:r>
      <w:r>
        <w:rPr/>
        <w:t>tenmeyen etkiler</w:t>
      </w:r>
    </w:p>
    <w:p>
      <w:pPr>
        <w:pStyle w:val="BodyText"/>
        <w:jc w:val="both"/>
      </w:pPr>
      <w:r>
        <w:rPr/>
        <w:t>Yan etkiler aşağıdaki sıklık kategorilerine göre sunulmaktadır:</w:t>
      </w:r>
    </w:p>
    <w:p>
      <w:pPr>
        <w:pStyle w:val="BodyText"/>
        <w:spacing w:before="1"/>
        <w:ind w:left="0"/>
        <w:rPr>
          <w:sz w:val="31"/>
        </w:rPr>
      </w:pPr>
    </w:p>
    <w:p>
      <w:pPr>
        <w:pStyle w:val="BodyText"/>
        <w:spacing w:line="237" w:lineRule="auto"/>
        <w:ind w:right="207"/>
        <w:jc w:val="both"/>
      </w:pPr>
      <w:r>
        <w:rPr/>
        <w:t>Çok yaygın (≥1/10); Yaygın (≥1/100 ve &lt; 1/10); Yaygın olmayan( ≥1.000 ve &lt; 1/100); Seyrek (≥1/10.000 ve &lt; 1/1.000); Çok seyrek (&lt;1/10.000); bilinmiyor (eldeki verilerden hareketle tahmin edilemiyor).</w:t>
      </w:r>
    </w:p>
    <w:p>
      <w:pPr>
        <w:pStyle w:val="Heading1"/>
        <w:spacing w:line="410" w:lineRule="atLeast" w:before="107"/>
        <w:ind w:right="6038"/>
        <w:jc w:val="both"/>
      </w:pPr>
      <w:bookmarkStart w:name="Pazarlama sonrası deneyim Enfeksiyonlar " w:id="32"/>
      <w:bookmarkEnd w:id="32"/>
      <w:r>
        <w:rPr>
          <w:b w:val="0"/>
        </w:rPr>
      </w:r>
      <w:r>
        <w:rPr/>
        <w:t>Pazarlama sonrası </w:t>
      </w:r>
      <w:r>
        <w:rPr>
          <w:spacing w:val="-3"/>
        </w:rPr>
        <w:t>deneyim </w:t>
      </w:r>
      <w:r>
        <w:rPr/>
        <w:t>Enfeksiyonlar ve</w:t>
      </w:r>
      <w:r>
        <w:rPr>
          <w:spacing w:val="-16"/>
        </w:rPr>
        <w:t> </w:t>
      </w:r>
      <w:r>
        <w:rPr/>
        <w:t>enfestasyonlar</w:t>
      </w:r>
    </w:p>
    <w:p>
      <w:pPr>
        <w:pStyle w:val="BodyText"/>
        <w:spacing w:before="5"/>
        <w:jc w:val="both"/>
      </w:pPr>
      <w:r>
        <w:rPr/>
        <w:t>Çok seyrek: Fırsatçı</w:t>
      </w:r>
      <w:r>
        <w:rPr>
          <w:spacing w:val="-13"/>
        </w:rPr>
        <w:t> </w:t>
      </w:r>
      <w:r>
        <w:rPr/>
        <w:t>enfeksiyonlar</w:t>
      </w:r>
    </w:p>
    <w:p>
      <w:pPr>
        <w:pStyle w:val="BodyText"/>
        <w:ind w:left="0"/>
      </w:pPr>
    </w:p>
    <w:p>
      <w:pPr>
        <w:pStyle w:val="Heading1"/>
        <w:jc w:val="both"/>
      </w:pPr>
      <w:bookmarkStart w:name="Bağışıklık sistemi hastalıkları" w:id="33"/>
      <w:bookmarkEnd w:id="33"/>
      <w:r>
        <w:rPr>
          <w:b w:val="0"/>
        </w:rPr>
      </w:r>
      <w:r>
        <w:rPr/>
        <w:t>Bağışıklık sistemi hastalıkları</w:t>
      </w:r>
    </w:p>
    <w:p>
      <w:pPr>
        <w:pStyle w:val="BodyText"/>
        <w:jc w:val="both"/>
      </w:pPr>
      <w:r>
        <w:rPr/>
        <w:t>Çok seyrek: Lokal hipersensitivite, genel döküntü</w:t>
      </w:r>
    </w:p>
    <w:p>
      <w:pPr>
        <w:pStyle w:val="BodyText"/>
        <w:spacing w:before="2"/>
        <w:ind w:left="0"/>
        <w:rPr>
          <w:sz w:val="23"/>
        </w:rPr>
      </w:pPr>
    </w:p>
    <w:p>
      <w:pPr>
        <w:pStyle w:val="Heading1"/>
      </w:pPr>
      <w:bookmarkStart w:name="Endokrin hastalıkları" w:id="34"/>
      <w:bookmarkEnd w:id="34"/>
      <w:r>
        <w:rPr>
          <w:b w:val="0"/>
        </w:rPr>
      </w:r>
      <w:r>
        <w:rPr/>
        <w:t>Endokrin hastalıkları</w:t>
      </w:r>
    </w:p>
    <w:p>
      <w:pPr>
        <w:pStyle w:val="BodyText"/>
        <w:spacing w:line="237" w:lineRule="auto" w:before="5"/>
        <w:ind w:right="194"/>
      </w:pPr>
      <w:r>
        <w:rPr/>
        <w:t>Çok seyrek: Hipotalamik-hipofiz adrenal (HPA) eksen süpresyonu, Cushingoid özellikler (örn. aydede yüzü, santral obezite), çocuklarda ağırlık artışı/gelişme geriliği, osteoporoz, glokom, hiperglisemi/glukozüri, katarakt, hipertansiyon, vücut ağırlığı artışı/obezite, endojen kortizol düzeyinde azalma, alopesi, trikoreksi</w:t>
      </w:r>
    </w:p>
    <w:p>
      <w:pPr>
        <w:pStyle w:val="BodyText"/>
        <w:spacing w:before="3"/>
        <w:ind w:left="0"/>
        <w:rPr>
          <w:sz w:val="23"/>
        </w:rPr>
      </w:pPr>
    </w:p>
    <w:p>
      <w:pPr>
        <w:pStyle w:val="Heading1"/>
        <w:spacing w:line="275" w:lineRule="exact" w:before="1"/>
      </w:pPr>
      <w:bookmarkStart w:name="Göz hastalıkları" w:id="35"/>
      <w:bookmarkEnd w:id="35"/>
      <w:r>
        <w:rPr>
          <w:b w:val="0"/>
        </w:rPr>
      </w:r>
      <w:r>
        <w:rPr/>
        <w:t>Göz hastalıkları</w:t>
      </w:r>
    </w:p>
    <w:p>
      <w:pPr>
        <w:pStyle w:val="BodyText"/>
        <w:spacing w:line="275" w:lineRule="exact"/>
      </w:pPr>
      <w:r>
        <w:rPr/>
        <w:t>Çok seyrek: Katarakt, glokom, santral seröz koryoretinopati</w:t>
      </w:r>
    </w:p>
    <w:p>
      <w:pPr>
        <w:pStyle w:val="BodyText"/>
      </w:pPr>
      <w:r>
        <w:rPr/>
        <w:t>Bilinmiyor: Bulanık görme (bkz. Bölüm 4.4)</w:t>
      </w:r>
    </w:p>
    <w:p>
      <w:pPr>
        <w:pStyle w:val="BodyText"/>
        <w:spacing w:before="11"/>
        <w:ind w:left="0"/>
        <w:rPr>
          <w:sz w:val="23"/>
        </w:rPr>
      </w:pPr>
    </w:p>
    <w:p>
      <w:pPr>
        <w:pStyle w:val="Heading1"/>
        <w:spacing w:line="275" w:lineRule="exact"/>
      </w:pPr>
      <w:bookmarkStart w:name="Deri ve derialtı dokusu hastalıkları" w:id="36"/>
      <w:bookmarkEnd w:id="36"/>
      <w:r>
        <w:rPr>
          <w:b w:val="0"/>
        </w:rPr>
      </w:r>
      <w:r>
        <w:rPr/>
        <w:t>Deri ve derialtı dokusu hastalıkları</w:t>
      </w:r>
    </w:p>
    <w:p>
      <w:pPr>
        <w:pStyle w:val="BodyText"/>
        <w:spacing w:line="274" w:lineRule="exact"/>
      </w:pPr>
      <w:r>
        <w:rPr/>
        <w:t>Yaygın: Kaşıntı, deride lokal yanma ve deride ağrı</w:t>
      </w:r>
    </w:p>
    <w:p>
      <w:pPr>
        <w:pStyle w:val="BodyText"/>
        <w:spacing w:line="275" w:lineRule="exact"/>
      </w:pPr>
      <w:r>
        <w:rPr/>
        <w:t>Yaygın olmayan: Deri atrofisi*, deride çatlaklar*, telenjiektazi*</w:t>
      </w:r>
    </w:p>
    <w:p>
      <w:pPr>
        <w:pStyle w:val="BodyText"/>
        <w:spacing w:line="242" w:lineRule="auto" w:before="5"/>
        <w:ind w:right="203"/>
        <w:jc w:val="both"/>
      </w:pPr>
      <w:r>
        <w:rPr/>
        <w:t>Çok seyrek: Deride incelme*, kırışıklık*, deride kuruluk*, pigmentasyon değişiklikleri*, hipertrikoz, altta yatan semptomların alevlenmesi, allerjik kontakt dermatit/dermatit, püstüler psöriazis, eritem, döküntü, ürtiker, akne</w:t>
      </w:r>
    </w:p>
    <w:p>
      <w:pPr>
        <w:pStyle w:val="BodyText"/>
        <w:spacing w:line="247" w:lineRule="auto" w:before="102"/>
        <w:ind w:right="201"/>
        <w:jc w:val="both"/>
      </w:pPr>
      <w:r>
        <w:rPr/>
        <w:t>* Hipotalamik-hipofizer adrenal (HPA) eksen süpresyonunun lokal ve sistemik etkilerine bağlıdır.</w:t>
      </w:r>
    </w:p>
    <w:p>
      <w:pPr>
        <w:pStyle w:val="Heading1"/>
        <w:spacing w:before="233"/>
      </w:pPr>
      <w:bookmarkStart w:name="Genel bozukluklar ve uygulama bölgesine " w:id="37"/>
      <w:bookmarkEnd w:id="37"/>
      <w:r>
        <w:rPr>
          <w:b w:val="0"/>
        </w:rPr>
      </w:r>
      <w:r>
        <w:rPr/>
        <w:t>Genel bozukluklar ve uygulama bölgesine ilişkin hastalıkları</w:t>
      </w:r>
    </w:p>
    <w:p>
      <w:pPr>
        <w:pStyle w:val="BodyText"/>
        <w:spacing w:before="3"/>
      </w:pPr>
      <w:r>
        <w:rPr/>
        <w:t>Çok seyrek: Uygulama bölgesinde tahriş/genel ağrı</w:t>
      </w:r>
    </w:p>
    <w:p>
      <w:pPr>
        <w:spacing w:after="0"/>
        <w:sectPr>
          <w:pgSz w:w="11920" w:h="16850"/>
          <w:pgMar w:header="0" w:footer="782" w:top="1380" w:bottom="980" w:left="1280" w:right="1200"/>
        </w:sectPr>
      </w:pPr>
    </w:p>
    <w:p>
      <w:pPr>
        <w:pStyle w:val="BodyText"/>
        <w:spacing w:before="64"/>
        <w:jc w:val="both"/>
      </w:pPr>
      <w:r>
        <w:rPr>
          <w:u w:val="single"/>
        </w:rPr>
        <w:t>Şüpheli advers reaksiyonların raporlanması</w:t>
      </w:r>
    </w:p>
    <w:p>
      <w:pPr>
        <w:pStyle w:val="BodyText"/>
        <w:spacing w:line="237" w:lineRule="auto" w:before="48"/>
        <w:ind w:right="205"/>
        <w:jc w:val="both"/>
      </w:pPr>
      <w:r>
        <w:rPr/>
        <w:t>Ruhsatlandırma sonrası şüpheli ilaç advers reaksiyonlarının raporlanması büyük önem taşımaktadır. Raporlama yapılması, ilacın yarar/risk dengesinin sürekli olarak izlenmesine olanak sağlar. Sağlık mesleği mensuplarının herhangi bir şüpheli advers reaksiyonu Türkiye Farmakovijilans</w:t>
      </w:r>
      <w:r>
        <w:rPr>
          <w:spacing w:val="-11"/>
        </w:rPr>
        <w:t> </w:t>
      </w:r>
      <w:r>
        <w:rPr/>
        <w:t>Merkezi</w:t>
      </w:r>
      <w:r>
        <w:rPr>
          <w:spacing w:val="-6"/>
        </w:rPr>
        <w:t> </w:t>
      </w:r>
      <w:r>
        <w:rPr/>
        <w:t>(TÜFAM)‘ne</w:t>
      </w:r>
      <w:r>
        <w:rPr>
          <w:spacing w:val="-13"/>
        </w:rPr>
        <w:t> </w:t>
      </w:r>
      <w:r>
        <w:rPr/>
        <w:t>bildirmeleri</w:t>
      </w:r>
      <w:r>
        <w:rPr>
          <w:spacing w:val="-10"/>
        </w:rPr>
        <w:t> </w:t>
      </w:r>
      <w:r>
        <w:rPr/>
        <w:t>gerekmektedir.</w:t>
      </w:r>
      <w:r>
        <w:rPr>
          <w:spacing w:val="-7"/>
        </w:rPr>
        <w:t> </w:t>
      </w:r>
      <w:r>
        <w:rPr/>
        <w:t>(www.titck.gov.tr;</w:t>
      </w:r>
      <w:r>
        <w:rPr>
          <w:spacing w:val="-11"/>
        </w:rPr>
        <w:t> </w:t>
      </w:r>
      <w:r>
        <w:rPr/>
        <w:t>e-posta: tufam@titck.gov.tr; tel: 0800 314 00 08; faks: 0312 218 35</w:t>
      </w:r>
      <w:r>
        <w:rPr>
          <w:spacing w:val="-5"/>
        </w:rPr>
        <w:t> </w:t>
      </w:r>
      <w:r>
        <w:rPr/>
        <w:t>99)</w:t>
      </w:r>
    </w:p>
    <w:p>
      <w:pPr>
        <w:pStyle w:val="BodyText"/>
        <w:spacing w:before="10"/>
        <w:ind w:left="0"/>
        <w:rPr>
          <w:sz w:val="30"/>
        </w:rPr>
      </w:pPr>
    </w:p>
    <w:p>
      <w:pPr>
        <w:pStyle w:val="Heading1"/>
        <w:numPr>
          <w:ilvl w:val="1"/>
          <w:numId w:val="1"/>
        </w:numPr>
        <w:tabs>
          <w:tab w:pos="535" w:val="left" w:leader="none"/>
        </w:tabs>
        <w:spacing w:line="240" w:lineRule="auto" w:before="0" w:after="0"/>
        <w:ind w:left="534" w:right="0" w:hanging="421"/>
        <w:jc w:val="left"/>
      </w:pPr>
      <w:bookmarkStart w:name="4.9. Doz aşımı ve tedavisi" w:id="38"/>
      <w:bookmarkEnd w:id="38"/>
      <w:r>
        <w:rPr>
          <w:b w:val="0"/>
        </w:rPr>
      </w:r>
      <w:bookmarkStart w:name="4.9. Doz aşımı ve tedavisi" w:id="39"/>
      <w:bookmarkEnd w:id="39"/>
      <w:r>
        <w:rPr/>
        <w:t>D</w:t>
      </w:r>
      <w:r>
        <w:rPr/>
        <w:t>oz aşımı ve</w:t>
      </w:r>
      <w:r>
        <w:rPr>
          <w:spacing w:val="-6"/>
        </w:rPr>
        <w:t> </w:t>
      </w:r>
      <w:r>
        <w:rPr/>
        <w:t>tedavisi</w:t>
      </w:r>
    </w:p>
    <w:p>
      <w:pPr>
        <w:pStyle w:val="BodyText"/>
        <w:spacing w:before="39"/>
      </w:pPr>
      <w:r>
        <w:rPr>
          <w:u w:val="single"/>
        </w:rPr>
        <w:t>Semptomlar</w:t>
      </w:r>
    </w:p>
    <w:p>
      <w:pPr>
        <w:pStyle w:val="BodyText"/>
        <w:spacing w:line="237" w:lineRule="auto" w:before="4"/>
        <w:ind w:right="204"/>
        <w:jc w:val="both"/>
      </w:pPr>
      <w:r>
        <w:rPr/>
        <w:t>Topikal uygulanan klobetazol sistemik etki oluşturacak kadar emilebilir. Akut doz aşımı oluşması beklenmez, bununla birlikte kronik doz aşımı veya yanlış kullanım sonucu hiperkortizolizm belirtileri ortaya çıkabilir (bkz. Bölüm 4.8).</w:t>
      </w:r>
    </w:p>
    <w:p>
      <w:pPr>
        <w:pStyle w:val="BodyText"/>
        <w:spacing w:before="3"/>
        <w:ind w:left="0"/>
        <w:rPr>
          <w:sz w:val="23"/>
        </w:rPr>
      </w:pPr>
    </w:p>
    <w:p>
      <w:pPr>
        <w:pStyle w:val="BodyText"/>
        <w:spacing w:before="1"/>
      </w:pPr>
      <w:r>
        <w:rPr>
          <w:u w:val="single"/>
        </w:rPr>
        <w:t>Tedavi</w:t>
      </w:r>
    </w:p>
    <w:p>
      <w:pPr>
        <w:pStyle w:val="BodyText"/>
        <w:spacing w:line="237" w:lineRule="auto" w:before="4"/>
        <w:ind w:right="204"/>
        <w:jc w:val="both"/>
      </w:pPr>
      <w:r>
        <w:rPr/>
        <w:t>Doz aşımı durumunda klobetazolun, glukokortikosteroid yetmezliği riski nedeniyle uygulama sıklığı azaltılarak ya da daha az etkili bir kortikosteroid ile değiştirilerek azaltılarak kesilmesi gerekmektedir. Takip eden tedavi, klinik olarak belirtildiği gibi ya da mevcut olan yerlerde ulusal zehir merkezi tarafından önerildiği şekilde yapılmalıdır.</w:t>
      </w:r>
    </w:p>
    <w:p>
      <w:pPr>
        <w:pStyle w:val="BodyText"/>
        <w:spacing w:before="4"/>
        <w:ind w:left="0"/>
      </w:pPr>
    </w:p>
    <w:p>
      <w:pPr>
        <w:pStyle w:val="Heading1"/>
        <w:numPr>
          <w:ilvl w:val="0"/>
          <w:numId w:val="1"/>
        </w:numPr>
        <w:tabs>
          <w:tab w:pos="355" w:val="left" w:leader="none"/>
        </w:tabs>
        <w:spacing w:line="240" w:lineRule="auto" w:before="0" w:after="0"/>
        <w:ind w:left="354" w:right="0" w:hanging="241"/>
        <w:jc w:val="left"/>
      </w:pPr>
      <w:bookmarkStart w:name="5. FARMAKOLOJİK ÖZELLİKLER" w:id="40"/>
      <w:bookmarkEnd w:id="40"/>
      <w:r>
        <w:rPr>
          <w:b w:val="0"/>
        </w:rPr>
      </w:r>
      <w:bookmarkStart w:name="5. FARMAKOLOJİK ÖZELLİKLER" w:id="41"/>
      <w:bookmarkEnd w:id="41"/>
      <w:r>
        <w:rPr/>
        <w:t>FARMA</w:t>
      </w:r>
      <w:r>
        <w:rPr/>
        <w:t>KOLOJİK</w:t>
      </w:r>
      <w:r>
        <w:rPr>
          <w:spacing w:val="-1"/>
        </w:rPr>
        <w:t> </w:t>
      </w:r>
      <w:r>
        <w:rPr/>
        <w:t>ÖZELLİKLER</w:t>
      </w:r>
    </w:p>
    <w:p>
      <w:pPr>
        <w:pStyle w:val="BodyText"/>
        <w:spacing w:before="5"/>
        <w:ind w:left="0"/>
        <w:rPr>
          <w:b/>
        </w:rPr>
      </w:pPr>
    </w:p>
    <w:p>
      <w:pPr>
        <w:pStyle w:val="ListParagraph"/>
        <w:numPr>
          <w:ilvl w:val="1"/>
          <w:numId w:val="1"/>
        </w:numPr>
        <w:tabs>
          <w:tab w:pos="532" w:val="left" w:leader="none"/>
        </w:tabs>
        <w:spacing w:line="240" w:lineRule="auto" w:before="0" w:after="0"/>
        <w:ind w:left="532" w:right="0" w:hanging="418"/>
        <w:jc w:val="left"/>
        <w:rPr>
          <w:b/>
          <w:sz w:val="24"/>
        </w:rPr>
      </w:pPr>
      <w:r>
        <w:rPr>
          <w:b/>
          <w:sz w:val="24"/>
        </w:rPr>
        <w:t>Farmakodinamik</w:t>
      </w:r>
      <w:r>
        <w:rPr>
          <w:b/>
          <w:spacing w:val="-1"/>
          <w:sz w:val="24"/>
        </w:rPr>
        <w:t> </w:t>
      </w:r>
      <w:r>
        <w:rPr>
          <w:b/>
          <w:sz w:val="24"/>
        </w:rPr>
        <w:t>özellikler</w:t>
      </w:r>
    </w:p>
    <w:p>
      <w:pPr>
        <w:pStyle w:val="BodyText"/>
        <w:spacing w:line="232" w:lineRule="auto" w:before="139"/>
        <w:ind w:right="395"/>
      </w:pPr>
      <w:r>
        <w:rPr/>
        <w:t>Farmakoterapotik grup: Kortikosteroidler, dermatolojik preperatlar, kortikosteroidler (yalın), kortikosteroidler, çok güçlü (grup IV)</w:t>
      </w:r>
    </w:p>
    <w:p>
      <w:pPr>
        <w:pStyle w:val="BodyText"/>
        <w:spacing w:line="269" w:lineRule="exact"/>
      </w:pPr>
      <w:r>
        <w:rPr/>
        <w:t>ATC kodu : D07AD01</w:t>
      </w:r>
    </w:p>
    <w:p>
      <w:pPr>
        <w:pStyle w:val="BodyText"/>
        <w:spacing w:before="7"/>
        <w:ind w:left="0"/>
        <w:rPr>
          <w:sz w:val="20"/>
        </w:rPr>
      </w:pPr>
    </w:p>
    <w:p>
      <w:pPr>
        <w:pStyle w:val="BodyText"/>
        <w:spacing w:before="1"/>
        <w:jc w:val="both"/>
      </w:pPr>
      <w:r>
        <w:rPr>
          <w:u w:val="single"/>
        </w:rPr>
        <w:t>Etki Mekanizması:</w:t>
      </w:r>
    </w:p>
    <w:p>
      <w:pPr>
        <w:pStyle w:val="BodyText"/>
        <w:spacing w:line="237" w:lineRule="auto" w:before="28"/>
        <w:ind w:right="202"/>
        <w:jc w:val="both"/>
      </w:pPr>
      <w:r>
        <w:rPr/>
        <w:t>Topikal kortikosteroidler geç evre allerji reaksiyonlarını mast hücre yoğunluğunun azalmasını, kemotaksis ve eozinofil aktivasyonunun azaltmasını, lenfosit, monosit, mast hücreleri ve eozinofiller tarafından sitokin üretiminin azalmasını ve araşidonik asit metabolizması baskılanmasını içeren çeşitli mekanizmalarla baskılayan antienflamatuar ilaçlardır.</w:t>
      </w:r>
    </w:p>
    <w:p>
      <w:pPr>
        <w:pStyle w:val="BodyText"/>
        <w:spacing w:before="211"/>
      </w:pPr>
      <w:r>
        <w:rPr>
          <w:u w:val="single"/>
        </w:rPr>
        <w:t>Farmakodinamik Etkiler</w:t>
      </w:r>
      <w:r>
        <w:rPr/>
        <w:t>:</w:t>
      </w:r>
    </w:p>
    <w:p>
      <w:pPr>
        <w:pStyle w:val="BodyText"/>
        <w:spacing w:before="29"/>
      </w:pPr>
      <w:r>
        <w:rPr/>
        <w:t>Topikal kortikosteroidler antienflamatuar, antipruritik ve vazokonstriktif özelliklere sahiptir.</w:t>
      </w:r>
    </w:p>
    <w:p>
      <w:pPr>
        <w:pStyle w:val="BodyText"/>
        <w:spacing w:before="1"/>
        <w:ind w:left="0"/>
        <w:rPr>
          <w:sz w:val="27"/>
        </w:rPr>
      </w:pPr>
    </w:p>
    <w:p>
      <w:pPr>
        <w:pStyle w:val="Heading1"/>
        <w:numPr>
          <w:ilvl w:val="1"/>
          <w:numId w:val="1"/>
        </w:numPr>
        <w:tabs>
          <w:tab w:pos="535" w:val="left" w:leader="none"/>
        </w:tabs>
        <w:spacing w:line="360" w:lineRule="auto" w:before="0" w:after="0"/>
        <w:ind w:left="114" w:right="6223" w:firstLine="0"/>
        <w:jc w:val="left"/>
      </w:pPr>
      <w:bookmarkStart w:name="5.2. Farmakokinetik özellikler Genel Öze" w:id="42"/>
      <w:bookmarkEnd w:id="42"/>
      <w:r>
        <w:rPr>
          <w:b w:val="0"/>
        </w:rPr>
      </w:r>
      <w:bookmarkStart w:name="5.2. Farmakokinetik özellikler Genel Öze" w:id="43"/>
      <w:bookmarkEnd w:id="43"/>
      <w:r>
        <w:rPr/>
        <w:t>F</w:t>
      </w:r>
      <w:r>
        <w:rPr/>
        <w:t>armakokinetik özellikler Genel</w:t>
      </w:r>
      <w:r>
        <w:rPr>
          <w:spacing w:val="-1"/>
        </w:rPr>
        <w:t> </w:t>
      </w:r>
      <w:r>
        <w:rPr/>
        <w:t>Özelliler</w:t>
      </w:r>
    </w:p>
    <w:p>
      <w:pPr>
        <w:pStyle w:val="BodyText"/>
        <w:spacing w:line="271" w:lineRule="exact"/>
      </w:pPr>
      <w:r>
        <w:rPr>
          <w:u w:val="single"/>
        </w:rPr>
        <w:t>Emilim:</w:t>
      </w:r>
    </w:p>
    <w:p>
      <w:pPr>
        <w:pStyle w:val="BodyText"/>
        <w:spacing w:line="237" w:lineRule="auto" w:before="2"/>
        <w:ind w:right="204"/>
        <w:jc w:val="both"/>
      </w:pPr>
      <w:r>
        <w:rPr/>
        <w:t>Topikal kortikosteroidler sağlıklı deriden sistematik olarak emilime uğrayabilir. Topikal kortikosteroidlerin deriden emilim miktarı kullanılan taşıyıcı ve epidermal bariyerin bütünlüğü gibi birçok faktöre bağlıdır. Oklüzif uygulama, inflamasyon ve/veya diğer deri hastalıkları da perkütan absorpsiyonu artırabilir.</w:t>
      </w:r>
    </w:p>
    <w:p>
      <w:pPr>
        <w:pStyle w:val="BodyText"/>
        <w:spacing w:before="9"/>
        <w:ind w:left="0"/>
        <w:rPr>
          <w:sz w:val="23"/>
        </w:rPr>
      </w:pPr>
    </w:p>
    <w:p>
      <w:pPr>
        <w:pStyle w:val="BodyText"/>
      </w:pPr>
      <w:r>
        <w:rPr>
          <w:u w:val="single"/>
        </w:rPr>
        <w:t>Dağılım:</w:t>
      </w:r>
    </w:p>
    <w:p>
      <w:pPr>
        <w:pStyle w:val="BodyText"/>
        <w:spacing w:line="237" w:lineRule="auto" w:before="4"/>
        <w:ind w:right="280"/>
      </w:pPr>
      <w:r>
        <w:rPr/>
        <w:t>Dolaşımdaki düzey saptanma sınırının altında olduğundan topikal kortikosteroidlerin sistemik maruziyetinin değerlendirilmesinde özel farmakodinamik ölçümler gereklidir.</w:t>
      </w:r>
    </w:p>
    <w:p>
      <w:pPr>
        <w:spacing w:after="0" w:line="237" w:lineRule="auto"/>
        <w:sectPr>
          <w:pgSz w:w="11920" w:h="16850"/>
          <w:pgMar w:header="0" w:footer="782" w:top="1400" w:bottom="980" w:left="1280" w:right="1200"/>
        </w:sectPr>
      </w:pPr>
    </w:p>
    <w:p>
      <w:pPr>
        <w:pStyle w:val="BodyText"/>
        <w:spacing w:line="275" w:lineRule="exact" w:before="63"/>
      </w:pPr>
      <w:r>
        <w:rPr>
          <w:u w:val="single"/>
        </w:rPr>
        <w:t>Biyotransformasvon:</w:t>
      </w:r>
    </w:p>
    <w:p>
      <w:pPr>
        <w:pStyle w:val="BodyText"/>
        <w:ind w:right="228"/>
      </w:pPr>
      <w:r>
        <w:rPr/>
        <w:t>Topikal kortikosteroidler deriden emildikten sonra sistemik uygulanan kortikosteroidlerle aynı metabolizma yolaklarını kullanır. Başlıca karaciğer tarafından metabolize edilir.</w:t>
      </w:r>
    </w:p>
    <w:p>
      <w:pPr>
        <w:pStyle w:val="BodyText"/>
        <w:spacing w:before="1"/>
        <w:ind w:left="0"/>
      </w:pPr>
    </w:p>
    <w:p>
      <w:pPr>
        <w:pStyle w:val="BodyText"/>
      </w:pPr>
      <w:r>
        <w:rPr>
          <w:u w:val="single"/>
        </w:rPr>
        <w:t>Eliminasvon:</w:t>
      </w:r>
    </w:p>
    <w:p>
      <w:pPr>
        <w:pStyle w:val="BodyText"/>
        <w:spacing w:before="3"/>
      </w:pPr>
      <w:r>
        <w:rPr/>
        <w:t>Böbrek yolu ile atılır. İlaveten bazı kortikosteroidler ve metabolitleri safra ile atılır.</w:t>
      </w:r>
    </w:p>
    <w:p>
      <w:pPr>
        <w:pStyle w:val="BodyText"/>
        <w:spacing w:before="11"/>
        <w:ind w:left="0"/>
        <w:rPr>
          <w:sz w:val="23"/>
        </w:rPr>
      </w:pPr>
    </w:p>
    <w:p>
      <w:pPr>
        <w:pStyle w:val="Heading1"/>
        <w:numPr>
          <w:ilvl w:val="1"/>
          <w:numId w:val="1"/>
        </w:numPr>
        <w:tabs>
          <w:tab w:pos="535" w:val="left" w:leader="none"/>
        </w:tabs>
        <w:spacing w:line="240" w:lineRule="auto" w:before="0" w:after="0"/>
        <w:ind w:left="534" w:right="0" w:hanging="421"/>
        <w:jc w:val="left"/>
      </w:pPr>
      <w:bookmarkStart w:name="5.3. Klinik öncesi güvenlilik verileri" w:id="44"/>
      <w:bookmarkEnd w:id="44"/>
      <w:r>
        <w:rPr>
          <w:b w:val="0"/>
        </w:rPr>
      </w:r>
      <w:bookmarkStart w:name="5.3. Klinik öncesi güvenlilik verileri" w:id="45"/>
      <w:bookmarkEnd w:id="45"/>
      <w:r>
        <w:rPr/>
        <w:t>Kli</w:t>
      </w:r>
      <w:r>
        <w:rPr/>
        <w:t>nik öncesi güvenlilik</w:t>
      </w:r>
      <w:r>
        <w:rPr>
          <w:spacing w:val="-3"/>
        </w:rPr>
        <w:t> </w:t>
      </w:r>
      <w:r>
        <w:rPr/>
        <w:t>verileri</w:t>
      </w:r>
    </w:p>
    <w:p>
      <w:pPr>
        <w:pStyle w:val="BodyText"/>
        <w:ind w:left="0"/>
        <w:rPr>
          <w:b/>
        </w:rPr>
      </w:pPr>
    </w:p>
    <w:p>
      <w:pPr>
        <w:pStyle w:val="BodyText"/>
      </w:pPr>
      <w:r>
        <w:rPr>
          <w:u w:val="single"/>
        </w:rPr>
        <w:t>Karsinogenez / Mutagenez </w:t>
      </w:r>
    </w:p>
    <w:p>
      <w:pPr>
        <w:pStyle w:val="BodyText"/>
        <w:ind w:left="0"/>
        <w:rPr>
          <w:sz w:val="16"/>
        </w:rPr>
      </w:pPr>
    </w:p>
    <w:p>
      <w:pPr>
        <w:pStyle w:val="BodyText"/>
        <w:spacing w:before="90"/>
      </w:pPr>
      <w:r>
        <w:rPr>
          <w:u w:val="single"/>
        </w:rPr>
        <w:t>Karsinogenez</w:t>
      </w:r>
    </w:p>
    <w:p>
      <w:pPr>
        <w:pStyle w:val="BodyText"/>
        <w:spacing w:before="2"/>
        <w:ind w:right="1054"/>
      </w:pPr>
      <w:r>
        <w:rPr/>
        <w:t>Klobetazol propiyonatın karsinojenik potansiyelini araştırmak için uzun süreli hayvan çalışmaları yapılmamıştır.</w:t>
      </w:r>
    </w:p>
    <w:p>
      <w:pPr>
        <w:pStyle w:val="BodyText"/>
        <w:spacing w:before="9"/>
        <w:ind w:left="0"/>
        <w:rPr>
          <w:sz w:val="23"/>
        </w:rPr>
      </w:pPr>
    </w:p>
    <w:p>
      <w:pPr>
        <w:pStyle w:val="BodyText"/>
      </w:pPr>
      <w:r>
        <w:rPr>
          <w:u w:val="single"/>
        </w:rPr>
        <w:t>Genotoksisite</w:t>
      </w:r>
    </w:p>
    <w:p>
      <w:pPr>
        <w:pStyle w:val="BodyText"/>
      </w:pPr>
      <w:r>
        <w:rPr/>
        <w:t>Klobetazol propiyonat bir dizi </w:t>
      </w:r>
      <w:r>
        <w:rPr>
          <w:i/>
        </w:rPr>
        <w:t>in vitro </w:t>
      </w:r>
      <w:r>
        <w:rPr/>
        <w:t>bakteriyel hücre tayinlerinde mutajenik bulunmamıştır.</w:t>
      </w:r>
    </w:p>
    <w:p>
      <w:pPr>
        <w:pStyle w:val="BodyText"/>
        <w:ind w:left="0"/>
      </w:pPr>
    </w:p>
    <w:p>
      <w:pPr>
        <w:pStyle w:val="BodyText"/>
      </w:pPr>
      <w:r>
        <w:rPr>
          <w:u w:val="single"/>
        </w:rPr>
        <w:t>Üreme Toksikolojisi</w:t>
      </w:r>
    </w:p>
    <w:p>
      <w:pPr>
        <w:pStyle w:val="BodyText"/>
        <w:spacing w:before="2"/>
        <w:ind w:left="0"/>
        <w:rPr>
          <w:sz w:val="16"/>
        </w:rPr>
      </w:pPr>
    </w:p>
    <w:p>
      <w:pPr>
        <w:pStyle w:val="BodyText"/>
        <w:spacing w:before="90"/>
      </w:pPr>
      <w:r>
        <w:rPr>
          <w:u w:val="single"/>
        </w:rPr>
        <w:t>Fertilite</w:t>
      </w:r>
    </w:p>
    <w:p>
      <w:pPr>
        <w:pStyle w:val="BodyText"/>
        <w:spacing w:before="1"/>
        <w:ind w:right="205"/>
        <w:jc w:val="both"/>
      </w:pPr>
      <w:r>
        <w:rPr/>
        <w:t>Fertilite çalışmalarında sıçanlarda 6.25 - 50 mikrogram/kg/gün dozda subkutan uygulanan klobetazol</w:t>
      </w:r>
      <w:r>
        <w:rPr>
          <w:spacing w:val="-12"/>
        </w:rPr>
        <w:t> </w:t>
      </w:r>
      <w:r>
        <w:rPr/>
        <w:t>propiyonat</w:t>
      </w:r>
      <w:r>
        <w:rPr>
          <w:spacing w:val="-12"/>
        </w:rPr>
        <w:t> </w:t>
      </w:r>
      <w:r>
        <w:rPr/>
        <w:t>çiftleşmeyi</w:t>
      </w:r>
      <w:r>
        <w:rPr>
          <w:spacing w:val="-12"/>
        </w:rPr>
        <w:t> </w:t>
      </w:r>
      <w:r>
        <w:rPr/>
        <w:t>etkilememiştir,</w:t>
      </w:r>
      <w:r>
        <w:rPr>
          <w:spacing w:val="-16"/>
        </w:rPr>
        <w:t> </w:t>
      </w:r>
      <w:r>
        <w:rPr/>
        <w:t>fertilite</w:t>
      </w:r>
      <w:r>
        <w:rPr>
          <w:spacing w:val="-13"/>
        </w:rPr>
        <w:t> </w:t>
      </w:r>
      <w:r>
        <w:rPr/>
        <w:t>azalması</w:t>
      </w:r>
      <w:r>
        <w:rPr>
          <w:spacing w:val="-13"/>
        </w:rPr>
        <w:t> </w:t>
      </w:r>
      <w:r>
        <w:rPr/>
        <w:t>50</w:t>
      </w:r>
      <w:r>
        <w:rPr>
          <w:spacing w:val="-12"/>
        </w:rPr>
        <w:t> </w:t>
      </w:r>
      <w:r>
        <w:rPr/>
        <w:t>mikrogram/kg/gün</w:t>
      </w:r>
      <w:r>
        <w:rPr>
          <w:spacing w:val="-13"/>
        </w:rPr>
        <w:t> </w:t>
      </w:r>
      <w:r>
        <w:rPr/>
        <w:t>dozda saptanmıştır.</w:t>
      </w:r>
    </w:p>
    <w:p>
      <w:pPr>
        <w:pStyle w:val="BodyText"/>
        <w:spacing w:before="10"/>
        <w:ind w:left="0"/>
        <w:rPr>
          <w:sz w:val="25"/>
        </w:rPr>
      </w:pPr>
    </w:p>
    <w:p>
      <w:pPr>
        <w:pStyle w:val="BodyText"/>
      </w:pPr>
      <w:r>
        <w:rPr>
          <w:u w:val="single"/>
        </w:rPr>
        <w:t>Gebelik</w:t>
      </w:r>
    </w:p>
    <w:p>
      <w:pPr>
        <w:pStyle w:val="BodyText"/>
        <w:spacing w:line="242" w:lineRule="auto" w:before="12"/>
        <w:ind w:right="208"/>
        <w:jc w:val="both"/>
      </w:pPr>
      <w:r>
        <w:rPr/>
        <w:t>Gebelik sırasında fare (≥100 mikrogram/kg/gün), ve sıçan (400 mikrogram/kg/gün) ya da tavşanlarda (1-10 mikrogram/kg/gün) subkutan klobetazol propiyonat uygulaması yarık damak ve intrauterin gelişme geriliği dahil olmak üzere fötal anormalliklere neden olmuştur.</w:t>
      </w:r>
    </w:p>
    <w:p>
      <w:pPr>
        <w:pStyle w:val="BodyText"/>
        <w:spacing w:before="6"/>
        <w:ind w:left="0"/>
        <w:rPr>
          <w:sz w:val="25"/>
        </w:rPr>
      </w:pPr>
    </w:p>
    <w:p>
      <w:pPr>
        <w:pStyle w:val="BodyText"/>
        <w:spacing w:line="242" w:lineRule="auto"/>
        <w:ind w:right="202"/>
        <w:jc w:val="both"/>
      </w:pPr>
      <w:r>
        <w:rPr/>
        <w:t>Sıçan çalışmasında bazı hayvanların yavrulamasına izin verilmiş ve ≥100 mikrogram/kg/gün dozda F1 kuşağında gelişme geriliği gözlenmiştir ve hayatta kalma 400 mikrogram/kg/gün doz uygulandığında azalmıştır.F1 üreme performansı ya da F2 kuşağında tedavi ile ilişkili etki gözlenmemiştir.</w:t>
      </w:r>
    </w:p>
    <w:p>
      <w:pPr>
        <w:pStyle w:val="BodyText"/>
        <w:spacing w:before="9"/>
        <w:ind w:left="0"/>
        <w:rPr>
          <w:sz w:val="20"/>
        </w:rPr>
      </w:pPr>
    </w:p>
    <w:p>
      <w:pPr>
        <w:pStyle w:val="Heading1"/>
        <w:numPr>
          <w:ilvl w:val="0"/>
          <w:numId w:val="1"/>
        </w:numPr>
        <w:tabs>
          <w:tab w:pos="379" w:val="left" w:leader="none"/>
        </w:tabs>
        <w:spacing w:line="240" w:lineRule="auto" w:before="0" w:after="0"/>
        <w:ind w:left="378" w:right="0" w:hanging="265"/>
        <w:jc w:val="left"/>
      </w:pPr>
      <w:bookmarkStart w:name="6. FARMASÖTİK ÖZELLİKLER" w:id="46"/>
      <w:bookmarkEnd w:id="46"/>
      <w:r>
        <w:rPr>
          <w:b w:val="0"/>
        </w:rPr>
      </w:r>
      <w:bookmarkStart w:name="6. FARMASÖTİK ÖZELLİKLER" w:id="47"/>
      <w:bookmarkEnd w:id="47"/>
      <w:r>
        <w:rPr/>
        <w:t>FARMA</w:t>
      </w:r>
      <w:r>
        <w:rPr/>
        <w:t>SÖTİK</w:t>
      </w:r>
      <w:r>
        <w:rPr>
          <w:spacing w:val="-1"/>
        </w:rPr>
        <w:t> </w:t>
      </w:r>
      <w:r>
        <w:rPr/>
        <w:t>ÖZELLİKLER</w:t>
      </w:r>
    </w:p>
    <w:p>
      <w:pPr>
        <w:pStyle w:val="ListParagraph"/>
        <w:numPr>
          <w:ilvl w:val="1"/>
          <w:numId w:val="1"/>
        </w:numPr>
        <w:tabs>
          <w:tab w:pos="643" w:val="left" w:leader="none"/>
        </w:tabs>
        <w:spacing w:line="240" w:lineRule="auto" w:before="132" w:after="0"/>
        <w:ind w:left="642" w:right="0" w:hanging="529"/>
        <w:jc w:val="left"/>
        <w:rPr>
          <w:b/>
          <w:sz w:val="24"/>
        </w:rPr>
      </w:pPr>
      <w:r>
        <w:rPr>
          <w:b/>
          <w:sz w:val="24"/>
        </w:rPr>
        <w:t>Yardımcı maddelerin</w:t>
      </w:r>
      <w:r>
        <w:rPr>
          <w:b/>
          <w:spacing w:val="-1"/>
          <w:sz w:val="24"/>
        </w:rPr>
        <w:t> </w:t>
      </w:r>
      <w:r>
        <w:rPr>
          <w:b/>
          <w:sz w:val="24"/>
        </w:rPr>
        <w:t>listesi</w:t>
      </w:r>
    </w:p>
    <w:p>
      <w:pPr>
        <w:pStyle w:val="BodyText"/>
        <w:spacing w:line="237" w:lineRule="auto" w:before="5"/>
        <w:ind w:right="7592"/>
      </w:pPr>
      <w:r>
        <w:rPr/>
        <w:t>Karbomer 980 İzopropil alkol Sodyum hidroksit Saf su</w:t>
      </w:r>
    </w:p>
    <w:p>
      <w:pPr>
        <w:pStyle w:val="BodyText"/>
        <w:spacing w:before="1"/>
        <w:ind w:left="0"/>
      </w:pPr>
    </w:p>
    <w:p>
      <w:pPr>
        <w:pStyle w:val="Heading1"/>
        <w:numPr>
          <w:ilvl w:val="1"/>
          <w:numId w:val="1"/>
        </w:numPr>
        <w:tabs>
          <w:tab w:pos="540" w:val="left" w:leader="none"/>
        </w:tabs>
        <w:spacing w:line="275" w:lineRule="exact" w:before="1" w:after="0"/>
        <w:ind w:left="539" w:right="0" w:hanging="426"/>
        <w:jc w:val="left"/>
      </w:pPr>
      <w:bookmarkStart w:name="6.2. Geçimsizlikler" w:id="48"/>
      <w:bookmarkEnd w:id="48"/>
      <w:r>
        <w:rPr>
          <w:b w:val="0"/>
        </w:rPr>
      </w:r>
      <w:bookmarkStart w:name="6.2. Geçimsizlikler" w:id="49"/>
      <w:bookmarkEnd w:id="49"/>
      <w:r>
        <w:rPr/>
        <w:t>G</w:t>
      </w:r>
      <w:r>
        <w:rPr/>
        <w:t>eçimsizlikler</w:t>
      </w:r>
    </w:p>
    <w:p>
      <w:pPr>
        <w:pStyle w:val="BodyText"/>
        <w:spacing w:line="275" w:lineRule="exact"/>
        <w:jc w:val="both"/>
      </w:pPr>
      <w:r>
        <w:rPr/>
        <w:t>Geçimsizlik rapor edilmemiştir.</w:t>
      </w:r>
    </w:p>
    <w:p>
      <w:pPr>
        <w:pStyle w:val="BodyText"/>
        <w:spacing w:before="4"/>
        <w:ind w:left="0"/>
      </w:pPr>
    </w:p>
    <w:p>
      <w:pPr>
        <w:pStyle w:val="Heading1"/>
        <w:numPr>
          <w:ilvl w:val="1"/>
          <w:numId w:val="1"/>
        </w:numPr>
        <w:tabs>
          <w:tab w:pos="540" w:val="left" w:leader="none"/>
        </w:tabs>
        <w:spacing w:line="240" w:lineRule="auto" w:before="0" w:after="0"/>
        <w:ind w:left="539" w:right="0" w:hanging="426"/>
        <w:jc w:val="left"/>
      </w:pPr>
      <w:bookmarkStart w:name="6.3. Raf ömrü" w:id="50"/>
      <w:bookmarkEnd w:id="50"/>
      <w:r>
        <w:rPr>
          <w:b w:val="0"/>
        </w:rPr>
      </w:r>
      <w:bookmarkStart w:name="6.3. Raf ömrü" w:id="51"/>
      <w:bookmarkEnd w:id="51"/>
      <w:r>
        <w:rPr/>
        <w:t>Ra</w:t>
      </w:r>
      <w:r>
        <w:rPr/>
        <w:t>f</w:t>
      </w:r>
      <w:r>
        <w:rPr>
          <w:spacing w:val="-2"/>
        </w:rPr>
        <w:t> </w:t>
      </w:r>
      <w:r>
        <w:rPr/>
        <w:t>ömrü</w:t>
      </w:r>
    </w:p>
    <w:p>
      <w:pPr>
        <w:pStyle w:val="BodyText"/>
        <w:jc w:val="both"/>
      </w:pPr>
      <w:r>
        <w:rPr/>
        <w:t>36 ay</w:t>
      </w:r>
    </w:p>
    <w:p>
      <w:pPr>
        <w:pStyle w:val="BodyText"/>
        <w:spacing w:before="3"/>
        <w:ind w:left="0"/>
      </w:pPr>
    </w:p>
    <w:p>
      <w:pPr>
        <w:pStyle w:val="Heading1"/>
        <w:numPr>
          <w:ilvl w:val="1"/>
          <w:numId w:val="1"/>
        </w:numPr>
        <w:tabs>
          <w:tab w:pos="540" w:val="left" w:leader="none"/>
        </w:tabs>
        <w:spacing w:line="240" w:lineRule="auto" w:before="0" w:after="0"/>
        <w:ind w:left="539" w:right="0" w:hanging="426"/>
        <w:jc w:val="left"/>
      </w:pPr>
      <w:bookmarkStart w:name="6.4. Saklamaya yönelik özel tedbirler" w:id="52"/>
      <w:bookmarkEnd w:id="52"/>
      <w:r>
        <w:rPr>
          <w:b w:val="0"/>
        </w:rPr>
      </w:r>
      <w:bookmarkStart w:name="6.4. Saklamaya yönelik özel tedbirler" w:id="53"/>
      <w:bookmarkEnd w:id="53"/>
      <w:r>
        <w:rPr/>
        <w:t>Sakl</w:t>
      </w:r>
      <w:r>
        <w:rPr/>
        <w:t>amaya yönelik özel</w:t>
      </w:r>
      <w:r>
        <w:rPr>
          <w:spacing w:val="-6"/>
        </w:rPr>
        <w:t> </w:t>
      </w:r>
      <w:r>
        <w:rPr/>
        <w:t>tedbirler</w:t>
      </w:r>
    </w:p>
    <w:p>
      <w:pPr>
        <w:pStyle w:val="BodyText"/>
        <w:jc w:val="both"/>
      </w:pPr>
      <w:r>
        <w:rPr/>
        <w:t>25° C'nin altındaki oda sıcaklığında saklayınız.</w:t>
      </w:r>
    </w:p>
    <w:p>
      <w:pPr>
        <w:spacing w:after="0"/>
        <w:jc w:val="both"/>
        <w:sectPr>
          <w:pgSz w:w="11920" w:h="16850"/>
          <w:pgMar w:header="0" w:footer="782" w:top="1080" w:bottom="980" w:left="1280" w:right="1200"/>
        </w:sectPr>
      </w:pPr>
    </w:p>
    <w:p>
      <w:pPr>
        <w:pStyle w:val="BodyText"/>
        <w:spacing w:before="70"/>
        <w:ind w:right="205"/>
        <w:jc w:val="both"/>
      </w:pPr>
      <w:r>
        <w:rPr/>
        <w:t>CLOVATE kullanıldıktan sonra şişenin kapağı sıkıca kapatılmalıdır. Yanıcı içerik ihtiva ettiğinden kullanım sırasında ve hemen sonrasında sigara içilmemelidir ve ateşe yaklaşılmamalıdır. Direkt güneş ışığından korunmalıdır.</w:t>
      </w:r>
    </w:p>
    <w:p>
      <w:pPr>
        <w:pStyle w:val="BodyText"/>
        <w:spacing w:before="9"/>
        <w:ind w:left="0"/>
        <w:rPr>
          <w:sz w:val="23"/>
        </w:rPr>
      </w:pPr>
    </w:p>
    <w:p>
      <w:pPr>
        <w:pStyle w:val="Heading1"/>
        <w:numPr>
          <w:ilvl w:val="1"/>
          <w:numId w:val="1"/>
        </w:numPr>
        <w:tabs>
          <w:tab w:pos="540" w:val="left" w:leader="none"/>
        </w:tabs>
        <w:spacing w:line="275" w:lineRule="exact" w:before="0" w:after="0"/>
        <w:ind w:left="539" w:right="0" w:hanging="426"/>
        <w:jc w:val="left"/>
      </w:pPr>
      <w:bookmarkStart w:name="6.5. Ambalajın niteliği ve içeriği" w:id="54"/>
      <w:bookmarkEnd w:id="54"/>
      <w:r>
        <w:rPr>
          <w:b w:val="0"/>
        </w:rPr>
      </w:r>
      <w:bookmarkStart w:name="6.5. Ambalajın niteliği ve içeriği" w:id="55"/>
      <w:bookmarkEnd w:id="55"/>
      <w:r>
        <w:rPr/>
        <w:t>A</w:t>
      </w:r>
      <w:r>
        <w:rPr/>
        <w:t>mbalajın niteliği ve</w:t>
      </w:r>
      <w:r>
        <w:rPr>
          <w:spacing w:val="-9"/>
        </w:rPr>
        <w:t> </w:t>
      </w:r>
      <w:r>
        <w:rPr/>
        <w:t>içeriği</w:t>
      </w:r>
    </w:p>
    <w:p>
      <w:pPr>
        <w:pStyle w:val="BodyText"/>
        <w:spacing w:line="275" w:lineRule="exact"/>
        <w:jc w:val="both"/>
      </w:pPr>
      <w:r>
        <w:rPr/>
        <w:t>25 ml saç losyonu, plastik şişede, karton kutuda</w:t>
      </w:r>
    </w:p>
    <w:p>
      <w:pPr>
        <w:pStyle w:val="BodyText"/>
        <w:spacing w:before="9"/>
        <w:ind w:left="0"/>
        <w:rPr>
          <w:sz w:val="23"/>
        </w:rPr>
      </w:pPr>
    </w:p>
    <w:p>
      <w:pPr>
        <w:pStyle w:val="ListParagraph"/>
        <w:numPr>
          <w:ilvl w:val="1"/>
          <w:numId w:val="1"/>
        </w:numPr>
        <w:tabs>
          <w:tab w:pos="540" w:val="left" w:leader="none"/>
        </w:tabs>
        <w:spacing w:line="240" w:lineRule="auto" w:before="0" w:after="0"/>
        <w:ind w:left="114" w:right="238" w:firstLine="0"/>
        <w:jc w:val="left"/>
        <w:rPr>
          <w:sz w:val="24"/>
        </w:rPr>
      </w:pPr>
      <w:r>
        <w:rPr>
          <w:b/>
          <w:sz w:val="24"/>
        </w:rPr>
        <w:t>Beşeri tıbbi üründen arta kalan maddelerin imhası ve diğer özel önlemler </w:t>
      </w:r>
      <w:r>
        <w:rPr>
          <w:sz w:val="24"/>
        </w:rPr>
        <w:t>Kullanılmamış</w:t>
      </w:r>
      <w:r>
        <w:rPr>
          <w:spacing w:val="-7"/>
          <w:sz w:val="24"/>
        </w:rPr>
        <w:t> </w:t>
      </w:r>
      <w:r>
        <w:rPr>
          <w:sz w:val="24"/>
        </w:rPr>
        <w:t>olan</w:t>
      </w:r>
      <w:r>
        <w:rPr>
          <w:spacing w:val="-6"/>
          <w:sz w:val="24"/>
        </w:rPr>
        <w:t> </w:t>
      </w:r>
      <w:r>
        <w:rPr>
          <w:sz w:val="24"/>
        </w:rPr>
        <w:t>ürünler</w:t>
      </w:r>
      <w:r>
        <w:rPr>
          <w:spacing w:val="-8"/>
          <w:sz w:val="24"/>
        </w:rPr>
        <w:t> </w:t>
      </w:r>
      <w:r>
        <w:rPr>
          <w:sz w:val="24"/>
        </w:rPr>
        <w:t>ya</w:t>
      </w:r>
      <w:r>
        <w:rPr>
          <w:spacing w:val="-10"/>
          <w:sz w:val="24"/>
        </w:rPr>
        <w:t> </w:t>
      </w:r>
      <w:r>
        <w:rPr>
          <w:sz w:val="24"/>
        </w:rPr>
        <w:t>da</w:t>
      </w:r>
      <w:r>
        <w:rPr>
          <w:spacing w:val="-7"/>
          <w:sz w:val="24"/>
        </w:rPr>
        <w:t> </w:t>
      </w:r>
      <w:r>
        <w:rPr>
          <w:sz w:val="24"/>
        </w:rPr>
        <w:t>atık</w:t>
      </w:r>
      <w:r>
        <w:rPr>
          <w:spacing w:val="-6"/>
          <w:sz w:val="24"/>
        </w:rPr>
        <w:t> </w:t>
      </w:r>
      <w:r>
        <w:rPr>
          <w:sz w:val="24"/>
        </w:rPr>
        <w:t>materyaller</w:t>
      </w:r>
      <w:r>
        <w:rPr>
          <w:spacing w:val="-3"/>
          <w:sz w:val="24"/>
        </w:rPr>
        <w:t> </w:t>
      </w:r>
      <w:r>
        <w:rPr>
          <w:sz w:val="24"/>
        </w:rPr>
        <w:t>"Tıbbi</w:t>
      </w:r>
      <w:r>
        <w:rPr>
          <w:spacing w:val="-6"/>
          <w:sz w:val="24"/>
        </w:rPr>
        <w:t> </w:t>
      </w:r>
      <w:r>
        <w:rPr>
          <w:sz w:val="24"/>
        </w:rPr>
        <w:t>Atıkların</w:t>
      </w:r>
      <w:r>
        <w:rPr>
          <w:spacing w:val="-7"/>
          <w:sz w:val="24"/>
        </w:rPr>
        <w:t> </w:t>
      </w:r>
      <w:r>
        <w:rPr>
          <w:sz w:val="24"/>
        </w:rPr>
        <w:t>Kontrolü</w:t>
      </w:r>
      <w:r>
        <w:rPr>
          <w:spacing w:val="-6"/>
          <w:sz w:val="24"/>
        </w:rPr>
        <w:t> </w:t>
      </w:r>
      <w:r>
        <w:rPr>
          <w:sz w:val="24"/>
        </w:rPr>
        <w:t>Yönetmeliği"</w:t>
      </w:r>
      <w:r>
        <w:rPr>
          <w:spacing w:val="-6"/>
          <w:sz w:val="24"/>
        </w:rPr>
        <w:t> </w:t>
      </w:r>
      <w:r>
        <w:rPr>
          <w:sz w:val="24"/>
        </w:rPr>
        <w:t>ve</w:t>
      </w:r>
      <w:r>
        <w:rPr>
          <w:spacing w:val="-8"/>
          <w:sz w:val="24"/>
        </w:rPr>
        <w:t> </w:t>
      </w:r>
      <w:r>
        <w:rPr>
          <w:sz w:val="24"/>
        </w:rPr>
        <w:t>" Ambalaj Atıklarının Kontrolü Yönetmelikleri"ne uygun olarak imha</w:t>
      </w:r>
      <w:r>
        <w:rPr>
          <w:spacing w:val="-7"/>
          <w:sz w:val="24"/>
        </w:rPr>
        <w:t> </w:t>
      </w:r>
      <w:r>
        <w:rPr>
          <w:sz w:val="24"/>
        </w:rPr>
        <w:t>edilmelidir.</w:t>
      </w:r>
    </w:p>
    <w:p>
      <w:pPr>
        <w:pStyle w:val="BodyText"/>
        <w:spacing w:before="8"/>
        <w:ind w:left="0"/>
        <w:rPr>
          <w:sz w:val="26"/>
        </w:rPr>
      </w:pPr>
    </w:p>
    <w:p>
      <w:pPr>
        <w:pStyle w:val="BodyText"/>
        <w:spacing w:before="1"/>
        <w:jc w:val="both"/>
      </w:pPr>
      <w:r>
        <w:rPr/>
        <w:t>CLOVATE’ı Kullanma Talimatı:</w:t>
      </w:r>
    </w:p>
    <w:p>
      <w:pPr>
        <w:pStyle w:val="BodyText"/>
        <w:spacing w:line="237" w:lineRule="auto" w:before="38"/>
        <w:ind w:right="260"/>
        <w:jc w:val="both"/>
      </w:pPr>
      <w:r>
        <w:rPr/>
        <w:t>CLOVATE saç losyonu yanıcıdır. Kullanım sırasında ve hemen sonrasında ısı kaynaklarından (örneğin; ateş, yanan sigara) uzak durunuz.</w:t>
      </w:r>
    </w:p>
    <w:p>
      <w:pPr>
        <w:pStyle w:val="BodyText"/>
        <w:spacing w:before="6"/>
        <w:ind w:left="0"/>
        <w:rPr>
          <w:sz w:val="30"/>
        </w:rPr>
      </w:pPr>
    </w:p>
    <w:p>
      <w:pPr>
        <w:pStyle w:val="ListParagraph"/>
        <w:numPr>
          <w:ilvl w:val="0"/>
          <w:numId w:val="1"/>
        </w:numPr>
        <w:tabs>
          <w:tab w:pos="357" w:val="left" w:leader="none"/>
        </w:tabs>
        <w:spacing w:line="237" w:lineRule="auto" w:before="0" w:after="0"/>
        <w:ind w:left="114" w:right="7011" w:firstLine="0"/>
        <w:jc w:val="left"/>
        <w:rPr>
          <w:sz w:val="24"/>
        </w:rPr>
      </w:pPr>
      <w:r>
        <w:rPr>
          <w:b/>
          <w:sz w:val="24"/>
        </w:rPr>
        <w:t>RUHSAT </w:t>
      </w:r>
      <w:r>
        <w:rPr>
          <w:b/>
          <w:spacing w:val="-3"/>
          <w:sz w:val="24"/>
        </w:rPr>
        <w:t>SAHİBİ </w:t>
      </w:r>
      <w:r>
        <w:rPr>
          <w:sz w:val="24"/>
        </w:rPr>
        <w:t>Humanis Sağlık A.Ş. Maslak/Sarıyer/İstanbul</w:t>
      </w:r>
    </w:p>
    <w:p>
      <w:pPr>
        <w:pStyle w:val="BodyText"/>
        <w:ind w:left="0"/>
        <w:rPr>
          <w:sz w:val="27"/>
        </w:rPr>
      </w:pPr>
    </w:p>
    <w:p>
      <w:pPr>
        <w:pStyle w:val="Heading1"/>
        <w:numPr>
          <w:ilvl w:val="0"/>
          <w:numId w:val="1"/>
        </w:numPr>
        <w:tabs>
          <w:tab w:pos="355" w:val="left" w:leader="none"/>
        </w:tabs>
        <w:spacing w:line="240" w:lineRule="auto" w:before="1" w:after="0"/>
        <w:ind w:left="354" w:right="0" w:hanging="241"/>
        <w:jc w:val="left"/>
      </w:pPr>
      <w:bookmarkStart w:name="8. RUHSAT NUMARASI" w:id="56"/>
      <w:bookmarkEnd w:id="56"/>
      <w:r>
        <w:rPr>
          <w:b w:val="0"/>
        </w:rPr>
      </w:r>
      <w:bookmarkStart w:name="8. RUHSAT NUMARASI" w:id="57"/>
      <w:bookmarkEnd w:id="57"/>
      <w:r>
        <w:rPr/>
        <w:t>RU</w:t>
      </w:r>
      <w:r>
        <w:rPr/>
        <w:t>HSAT</w:t>
      </w:r>
      <w:r>
        <w:rPr>
          <w:spacing w:val="-1"/>
        </w:rPr>
        <w:t> </w:t>
      </w:r>
      <w:r>
        <w:rPr/>
        <w:t>NUMARASI</w:t>
      </w:r>
    </w:p>
    <w:p>
      <w:pPr>
        <w:pStyle w:val="BodyText"/>
        <w:spacing w:before="36"/>
      </w:pPr>
      <w:r>
        <w:rPr/>
        <w:t>2014/161</w:t>
      </w:r>
    </w:p>
    <w:p>
      <w:pPr>
        <w:pStyle w:val="BodyText"/>
        <w:spacing w:before="1"/>
        <w:ind w:left="0"/>
        <w:rPr>
          <w:sz w:val="23"/>
        </w:rPr>
      </w:pPr>
    </w:p>
    <w:p>
      <w:pPr>
        <w:pStyle w:val="Heading1"/>
        <w:numPr>
          <w:ilvl w:val="0"/>
          <w:numId w:val="1"/>
        </w:numPr>
        <w:tabs>
          <w:tab w:pos="355" w:val="left" w:leader="none"/>
        </w:tabs>
        <w:spacing w:line="275" w:lineRule="exact" w:before="1" w:after="0"/>
        <w:ind w:left="354" w:right="0" w:hanging="241"/>
        <w:jc w:val="left"/>
      </w:pPr>
      <w:bookmarkStart w:name="9. İLK RUHSAT TARİHİ/ RUHSAT YENİLEME TA" w:id="58"/>
      <w:bookmarkEnd w:id="58"/>
      <w:r>
        <w:rPr>
          <w:b w:val="0"/>
        </w:rPr>
      </w:r>
      <w:bookmarkStart w:name="9. İLK RUHSAT TARİHİ/ RUHSAT YENİLEME TA" w:id="59"/>
      <w:bookmarkEnd w:id="59"/>
      <w:r>
        <w:rPr/>
        <w:t>İLK</w:t>
      </w:r>
      <w:r>
        <w:rPr/>
        <w:t> RUHSAT TARİHİ/ RUHSAT YENİLEME</w:t>
      </w:r>
      <w:r>
        <w:rPr>
          <w:spacing w:val="-4"/>
        </w:rPr>
        <w:t> </w:t>
      </w:r>
      <w:r>
        <w:rPr/>
        <w:t>TARİHİ</w:t>
      </w:r>
    </w:p>
    <w:p>
      <w:pPr>
        <w:pStyle w:val="BodyText"/>
        <w:spacing w:line="275" w:lineRule="exact"/>
      </w:pPr>
      <w:r>
        <w:rPr/>
        <w:t>İlk ruhsat tarihi: 19.02.2014</w:t>
      </w:r>
    </w:p>
    <w:p>
      <w:pPr>
        <w:pStyle w:val="BodyText"/>
      </w:pPr>
      <w:r>
        <w:rPr/>
        <w:t>Ruhsat yenileme tarihi:</w:t>
      </w:r>
    </w:p>
    <w:p>
      <w:pPr>
        <w:pStyle w:val="BodyText"/>
        <w:spacing w:before="7"/>
        <w:ind w:left="0"/>
      </w:pPr>
    </w:p>
    <w:p>
      <w:pPr>
        <w:pStyle w:val="Heading1"/>
        <w:numPr>
          <w:ilvl w:val="0"/>
          <w:numId w:val="1"/>
        </w:numPr>
        <w:tabs>
          <w:tab w:pos="417" w:val="left" w:leader="none"/>
        </w:tabs>
        <w:spacing w:line="240" w:lineRule="auto" w:before="0" w:after="0"/>
        <w:ind w:left="416" w:right="0" w:hanging="303"/>
        <w:jc w:val="left"/>
      </w:pPr>
      <w:bookmarkStart w:name="10. KÜB'ÜN YENİLENME TARİHİ" w:id="60"/>
      <w:bookmarkEnd w:id="60"/>
      <w:r>
        <w:rPr>
          <w:b w:val="0"/>
        </w:rPr>
      </w:r>
      <w:bookmarkStart w:name="10. KÜB'ÜN YENİLENME TARİHİ" w:id="61"/>
      <w:bookmarkEnd w:id="61"/>
      <w:r>
        <w:rPr/>
        <w:t>K</w:t>
      </w:r>
      <w:r>
        <w:rPr/>
        <w:t>ÜB'ÜN YENİLENME</w:t>
      </w:r>
      <w:r>
        <w:rPr>
          <w:spacing w:val="-4"/>
        </w:rPr>
        <w:t> </w:t>
      </w:r>
      <w:r>
        <w:rPr/>
        <w:t>TARİHİ</w:t>
      </w:r>
    </w:p>
    <w:p>
      <w:pPr>
        <w:pStyle w:val="BodyText"/>
        <w:spacing w:before="38"/>
      </w:pPr>
      <w:r>
        <w:rPr/>
        <w:t>15.09.2023</w:t>
      </w:r>
    </w:p>
    <w:sectPr>
      <w:pgSz w:w="11920" w:h="16850"/>
      <w:pgMar w:header="0" w:footer="782" w:top="1080" w:bottom="980" w:left="12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0.760010pt;margin-top:791.946594pt;width:12pt;height:15.3pt;mso-position-horizontal-relative:page;mso-position-vertical-relative:page;z-index:-251997184"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14" w:hanging="144"/>
      </w:pPr>
      <w:rPr>
        <w:rFonts w:hint="default" w:ascii="Times New Roman" w:hAnsi="Times New Roman" w:eastAsia="Times New Roman" w:cs="Times New Roman"/>
        <w:w w:val="100"/>
        <w:sz w:val="24"/>
        <w:szCs w:val="24"/>
        <w:lang w:val="tr-TR" w:eastAsia="tr-TR" w:bidi="tr-TR"/>
      </w:rPr>
    </w:lvl>
    <w:lvl w:ilvl="1">
      <w:start w:val="0"/>
      <w:numFmt w:val="bullet"/>
      <w:lvlText w:val="•"/>
      <w:lvlJc w:val="left"/>
      <w:pPr>
        <w:ind w:left="1051" w:hanging="144"/>
      </w:pPr>
      <w:rPr>
        <w:rFonts w:hint="default"/>
        <w:lang w:val="tr-TR" w:eastAsia="tr-TR" w:bidi="tr-TR"/>
      </w:rPr>
    </w:lvl>
    <w:lvl w:ilvl="2">
      <w:start w:val="0"/>
      <w:numFmt w:val="bullet"/>
      <w:lvlText w:val="•"/>
      <w:lvlJc w:val="left"/>
      <w:pPr>
        <w:ind w:left="1982" w:hanging="144"/>
      </w:pPr>
      <w:rPr>
        <w:rFonts w:hint="default"/>
        <w:lang w:val="tr-TR" w:eastAsia="tr-TR" w:bidi="tr-TR"/>
      </w:rPr>
    </w:lvl>
    <w:lvl w:ilvl="3">
      <w:start w:val="0"/>
      <w:numFmt w:val="bullet"/>
      <w:lvlText w:val="•"/>
      <w:lvlJc w:val="left"/>
      <w:pPr>
        <w:ind w:left="2913" w:hanging="144"/>
      </w:pPr>
      <w:rPr>
        <w:rFonts w:hint="default"/>
        <w:lang w:val="tr-TR" w:eastAsia="tr-TR" w:bidi="tr-TR"/>
      </w:rPr>
    </w:lvl>
    <w:lvl w:ilvl="4">
      <w:start w:val="0"/>
      <w:numFmt w:val="bullet"/>
      <w:lvlText w:val="•"/>
      <w:lvlJc w:val="left"/>
      <w:pPr>
        <w:ind w:left="3844" w:hanging="144"/>
      </w:pPr>
      <w:rPr>
        <w:rFonts w:hint="default"/>
        <w:lang w:val="tr-TR" w:eastAsia="tr-TR" w:bidi="tr-TR"/>
      </w:rPr>
    </w:lvl>
    <w:lvl w:ilvl="5">
      <w:start w:val="0"/>
      <w:numFmt w:val="bullet"/>
      <w:lvlText w:val="•"/>
      <w:lvlJc w:val="left"/>
      <w:pPr>
        <w:ind w:left="4775" w:hanging="144"/>
      </w:pPr>
      <w:rPr>
        <w:rFonts w:hint="default"/>
        <w:lang w:val="tr-TR" w:eastAsia="tr-TR" w:bidi="tr-TR"/>
      </w:rPr>
    </w:lvl>
    <w:lvl w:ilvl="6">
      <w:start w:val="0"/>
      <w:numFmt w:val="bullet"/>
      <w:lvlText w:val="•"/>
      <w:lvlJc w:val="left"/>
      <w:pPr>
        <w:ind w:left="5706" w:hanging="144"/>
      </w:pPr>
      <w:rPr>
        <w:rFonts w:hint="default"/>
        <w:lang w:val="tr-TR" w:eastAsia="tr-TR" w:bidi="tr-TR"/>
      </w:rPr>
    </w:lvl>
    <w:lvl w:ilvl="7">
      <w:start w:val="0"/>
      <w:numFmt w:val="bullet"/>
      <w:lvlText w:val="•"/>
      <w:lvlJc w:val="left"/>
      <w:pPr>
        <w:ind w:left="6637" w:hanging="144"/>
      </w:pPr>
      <w:rPr>
        <w:rFonts w:hint="default"/>
        <w:lang w:val="tr-TR" w:eastAsia="tr-TR" w:bidi="tr-TR"/>
      </w:rPr>
    </w:lvl>
    <w:lvl w:ilvl="8">
      <w:start w:val="0"/>
      <w:numFmt w:val="bullet"/>
      <w:lvlText w:val="•"/>
      <w:lvlJc w:val="left"/>
      <w:pPr>
        <w:ind w:left="7568" w:hanging="144"/>
      </w:pPr>
      <w:rPr>
        <w:rFonts w:hint="default"/>
        <w:lang w:val="tr-TR" w:eastAsia="tr-TR" w:bidi="tr-TR"/>
      </w:rPr>
    </w:lvl>
  </w:abstractNum>
  <w:abstractNum w:abstractNumId="1">
    <w:multiLevelType w:val="hybridMultilevel"/>
    <w:lvl w:ilvl="0">
      <w:start w:val="0"/>
      <w:numFmt w:val="bullet"/>
      <w:lvlText w:val="-"/>
      <w:lvlJc w:val="left"/>
      <w:pPr>
        <w:ind w:left="256" w:hanging="142"/>
      </w:pPr>
      <w:rPr>
        <w:rFonts w:hint="default" w:ascii="Times New Roman" w:hAnsi="Times New Roman" w:eastAsia="Times New Roman" w:cs="Times New Roman"/>
        <w:w w:val="100"/>
        <w:sz w:val="24"/>
        <w:szCs w:val="24"/>
        <w:lang w:val="tr-TR" w:eastAsia="tr-TR" w:bidi="tr-TR"/>
      </w:rPr>
    </w:lvl>
    <w:lvl w:ilvl="1">
      <w:start w:val="0"/>
      <w:numFmt w:val="bullet"/>
      <w:lvlText w:val="•"/>
      <w:lvlJc w:val="left"/>
      <w:pPr>
        <w:ind w:left="1177" w:hanging="142"/>
      </w:pPr>
      <w:rPr>
        <w:rFonts w:hint="default"/>
        <w:lang w:val="tr-TR" w:eastAsia="tr-TR" w:bidi="tr-TR"/>
      </w:rPr>
    </w:lvl>
    <w:lvl w:ilvl="2">
      <w:start w:val="0"/>
      <w:numFmt w:val="bullet"/>
      <w:lvlText w:val="•"/>
      <w:lvlJc w:val="left"/>
      <w:pPr>
        <w:ind w:left="2094" w:hanging="142"/>
      </w:pPr>
      <w:rPr>
        <w:rFonts w:hint="default"/>
        <w:lang w:val="tr-TR" w:eastAsia="tr-TR" w:bidi="tr-TR"/>
      </w:rPr>
    </w:lvl>
    <w:lvl w:ilvl="3">
      <w:start w:val="0"/>
      <w:numFmt w:val="bullet"/>
      <w:lvlText w:val="•"/>
      <w:lvlJc w:val="left"/>
      <w:pPr>
        <w:ind w:left="3011" w:hanging="142"/>
      </w:pPr>
      <w:rPr>
        <w:rFonts w:hint="default"/>
        <w:lang w:val="tr-TR" w:eastAsia="tr-TR" w:bidi="tr-TR"/>
      </w:rPr>
    </w:lvl>
    <w:lvl w:ilvl="4">
      <w:start w:val="0"/>
      <w:numFmt w:val="bullet"/>
      <w:lvlText w:val="•"/>
      <w:lvlJc w:val="left"/>
      <w:pPr>
        <w:ind w:left="3928" w:hanging="142"/>
      </w:pPr>
      <w:rPr>
        <w:rFonts w:hint="default"/>
        <w:lang w:val="tr-TR" w:eastAsia="tr-TR" w:bidi="tr-TR"/>
      </w:rPr>
    </w:lvl>
    <w:lvl w:ilvl="5">
      <w:start w:val="0"/>
      <w:numFmt w:val="bullet"/>
      <w:lvlText w:val="•"/>
      <w:lvlJc w:val="left"/>
      <w:pPr>
        <w:ind w:left="4845" w:hanging="142"/>
      </w:pPr>
      <w:rPr>
        <w:rFonts w:hint="default"/>
        <w:lang w:val="tr-TR" w:eastAsia="tr-TR" w:bidi="tr-TR"/>
      </w:rPr>
    </w:lvl>
    <w:lvl w:ilvl="6">
      <w:start w:val="0"/>
      <w:numFmt w:val="bullet"/>
      <w:lvlText w:val="•"/>
      <w:lvlJc w:val="left"/>
      <w:pPr>
        <w:ind w:left="5762" w:hanging="142"/>
      </w:pPr>
      <w:rPr>
        <w:rFonts w:hint="default"/>
        <w:lang w:val="tr-TR" w:eastAsia="tr-TR" w:bidi="tr-TR"/>
      </w:rPr>
    </w:lvl>
    <w:lvl w:ilvl="7">
      <w:start w:val="0"/>
      <w:numFmt w:val="bullet"/>
      <w:lvlText w:val="•"/>
      <w:lvlJc w:val="left"/>
      <w:pPr>
        <w:ind w:left="6679" w:hanging="142"/>
      </w:pPr>
      <w:rPr>
        <w:rFonts w:hint="default"/>
        <w:lang w:val="tr-TR" w:eastAsia="tr-TR" w:bidi="tr-TR"/>
      </w:rPr>
    </w:lvl>
    <w:lvl w:ilvl="8">
      <w:start w:val="0"/>
      <w:numFmt w:val="bullet"/>
      <w:lvlText w:val="•"/>
      <w:lvlJc w:val="left"/>
      <w:pPr>
        <w:ind w:left="7596" w:hanging="142"/>
      </w:pPr>
      <w:rPr>
        <w:rFonts w:hint="default"/>
        <w:lang w:val="tr-TR" w:eastAsia="tr-TR" w:bidi="tr-TR"/>
      </w:rPr>
    </w:lvl>
  </w:abstractNum>
  <w:abstractNum w:abstractNumId="0">
    <w:multiLevelType w:val="hybridMultilevel"/>
    <w:lvl w:ilvl="0">
      <w:start w:val="1"/>
      <w:numFmt w:val="decimal"/>
      <w:lvlText w:val="%1."/>
      <w:lvlJc w:val="left"/>
      <w:pPr>
        <w:ind w:left="352" w:hanging="238"/>
        <w:jc w:val="left"/>
      </w:pPr>
      <w:rPr>
        <w:rFonts w:hint="default" w:ascii="Times New Roman" w:hAnsi="Times New Roman" w:eastAsia="Times New Roman" w:cs="Times New Roman"/>
        <w:b/>
        <w:bCs/>
        <w:w w:val="100"/>
        <w:sz w:val="24"/>
        <w:szCs w:val="24"/>
        <w:lang w:val="tr-TR" w:eastAsia="tr-TR" w:bidi="tr-TR"/>
      </w:rPr>
    </w:lvl>
    <w:lvl w:ilvl="1">
      <w:start w:val="1"/>
      <w:numFmt w:val="decimal"/>
      <w:lvlText w:val="%1.%2."/>
      <w:lvlJc w:val="left"/>
      <w:pPr>
        <w:ind w:left="532" w:hanging="418"/>
        <w:jc w:val="left"/>
      </w:pPr>
      <w:rPr>
        <w:rFonts w:hint="default" w:ascii="Times New Roman" w:hAnsi="Times New Roman" w:eastAsia="Times New Roman" w:cs="Times New Roman"/>
        <w:b/>
        <w:bCs/>
        <w:w w:val="100"/>
        <w:sz w:val="24"/>
        <w:szCs w:val="24"/>
        <w:lang w:val="tr-TR" w:eastAsia="tr-TR" w:bidi="tr-TR"/>
      </w:rPr>
    </w:lvl>
    <w:lvl w:ilvl="2">
      <w:start w:val="0"/>
      <w:numFmt w:val="bullet"/>
      <w:lvlText w:val="•"/>
      <w:lvlJc w:val="left"/>
      <w:pPr>
        <w:ind w:left="640" w:hanging="418"/>
      </w:pPr>
      <w:rPr>
        <w:rFonts w:hint="default"/>
        <w:lang w:val="tr-TR" w:eastAsia="tr-TR" w:bidi="tr-TR"/>
      </w:rPr>
    </w:lvl>
    <w:lvl w:ilvl="3">
      <w:start w:val="0"/>
      <w:numFmt w:val="bullet"/>
      <w:lvlText w:val="•"/>
      <w:lvlJc w:val="left"/>
      <w:pPr>
        <w:ind w:left="1738" w:hanging="418"/>
      </w:pPr>
      <w:rPr>
        <w:rFonts w:hint="default"/>
        <w:lang w:val="tr-TR" w:eastAsia="tr-TR" w:bidi="tr-TR"/>
      </w:rPr>
    </w:lvl>
    <w:lvl w:ilvl="4">
      <w:start w:val="0"/>
      <w:numFmt w:val="bullet"/>
      <w:lvlText w:val="•"/>
      <w:lvlJc w:val="left"/>
      <w:pPr>
        <w:ind w:left="2837" w:hanging="418"/>
      </w:pPr>
      <w:rPr>
        <w:rFonts w:hint="default"/>
        <w:lang w:val="tr-TR" w:eastAsia="tr-TR" w:bidi="tr-TR"/>
      </w:rPr>
    </w:lvl>
    <w:lvl w:ilvl="5">
      <w:start w:val="0"/>
      <w:numFmt w:val="bullet"/>
      <w:lvlText w:val="•"/>
      <w:lvlJc w:val="left"/>
      <w:pPr>
        <w:ind w:left="3936" w:hanging="418"/>
      </w:pPr>
      <w:rPr>
        <w:rFonts w:hint="default"/>
        <w:lang w:val="tr-TR" w:eastAsia="tr-TR" w:bidi="tr-TR"/>
      </w:rPr>
    </w:lvl>
    <w:lvl w:ilvl="6">
      <w:start w:val="0"/>
      <w:numFmt w:val="bullet"/>
      <w:lvlText w:val="•"/>
      <w:lvlJc w:val="left"/>
      <w:pPr>
        <w:ind w:left="5035" w:hanging="418"/>
      </w:pPr>
      <w:rPr>
        <w:rFonts w:hint="default"/>
        <w:lang w:val="tr-TR" w:eastAsia="tr-TR" w:bidi="tr-TR"/>
      </w:rPr>
    </w:lvl>
    <w:lvl w:ilvl="7">
      <w:start w:val="0"/>
      <w:numFmt w:val="bullet"/>
      <w:lvlText w:val="•"/>
      <w:lvlJc w:val="left"/>
      <w:pPr>
        <w:ind w:left="6134" w:hanging="418"/>
      </w:pPr>
      <w:rPr>
        <w:rFonts w:hint="default"/>
        <w:lang w:val="tr-TR" w:eastAsia="tr-TR" w:bidi="tr-TR"/>
      </w:rPr>
    </w:lvl>
    <w:lvl w:ilvl="8">
      <w:start w:val="0"/>
      <w:numFmt w:val="bullet"/>
      <w:lvlText w:val="•"/>
      <w:lvlJc w:val="left"/>
      <w:pPr>
        <w:ind w:left="7233" w:hanging="418"/>
      </w:pPr>
      <w:rPr>
        <w:rFonts w:hint="default"/>
        <w:lang w:val="tr-TR" w:eastAsia="tr-TR" w:bidi="tr-TR"/>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tr-TR" w:bidi="tr-TR"/>
    </w:rPr>
  </w:style>
  <w:style w:styleId="BodyText" w:type="paragraph">
    <w:name w:val="Body Text"/>
    <w:basedOn w:val="Normal"/>
    <w:uiPriority w:val="1"/>
    <w:qFormat/>
    <w:pPr>
      <w:ind w:left="114"/>
    </w:pPr>
    <w:rPr>
      <w:rFonts w:ascii="Times New Roman" w:hAnsi="Times New Roman" w:eastAsia="Times New Roman" w:cs="Times New Roman"/>
      <w:sz w:val="24"/>
      <w:szCs w:val="24"/>
      <w:lang w:val="tr-TR" w:eastAsia="tr-TR" w:bidi="tr-TR"/>
    </w:rPr>
  </w:style>
  <w:style w:styleId="Heading1" w:type="paragraph">
    <w:name w:val="Heading 1"/>
    <w:basedOn w:val="Normal"/>
    <w:uiPriority w:val="1"/>
    <w:qFormat/>
    <w:pPr>
      <w:ind w:left="114"/>
      <w:outlineLvl w:val="1"/>
    </w:pPr>
    <w:rPr>
      <w:rFonts w:ascii="Times New Roman" w:hAnsi="Times New Roman" w:eastAsia="Times New Roman" w:cs="Times New Roman"/>
      <w:b/>
      <w:bCs/>
      <w:sz w:val="24"/>
      <w:szCs w:val="24"/>
      <w:lang w:val="tr-TR" w:eastAsia="tr-TR" w:bidi="tr-TR"/>
    </w:rPr>
  </w:style>
  <w:style w:styleId="ListParagraph" w:type="paragraph">
    <w:name w:val="List Paragraph"/>
    <w:basedOn w:val="Normal"/>
    <w:uiPriority w:val="1"/>
    <w:qFormat/>
    <w:pPr>
      <w:ind w:left="258" w:hanging="145"/>
    </w:pPr>
    <w:rPr>
      <w:rFonts w:ascii="Times New Roman" w:hAnsi="Times New Roman" w:eastAsia="Times New Roman" w:cs="Times New Roman"/>
      <w:lang w:val="tr-TR" w:eastAsia="tr-TR" w:bidi="tr-TR"/>
    </w:rPr>
  </w:style>
  <w:style w:styleId="TableParagraph" w:type="paragraph">
    <w:name w:val="Table Paragraph"/>
    <w:basedOn w:val="Normal"/>
    <w:uiPriority w:val="1"/>
    <w:qFormat/>
    <w:pPr/>
    <w:rPr>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Ebubekir ASKER</dc:creator>
  <dcterms:created xsi:type="dcterms:W3CDTF">2024-05-15T05:10:42Z</dcterms:created>
  <dcterms:modified xsi:type="dcterms:W3CDTF">2024-05-15T05:10:42Z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Word için Acrobat PDFMaker 17</vt:lpwstr>
  </property>
  <property fmtid="{D5CDD505-2E9C-101B-9397-08002B2CF9AE}" pid="4" name="LastSaved">
    <vt:filetime>2024-05-15T00:00:00Z</vt:filetime>
  </property>
</Properties>
</file>